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生物工程学院生物工程专业调研报告（2</w:t>
      </w:r>
      <w:r>
        <w:rPr>
          <w:rFonts w:ascii="仿宋_GB2312" w:hAnsi="仿宋_GB2312" w:eastAsia="仿宋_GB2312" w:cs="仿宋_GB2312"/>
          <w:b/>
          <w:bCs/>
          <w:sz w:val="32"/>
          <w:szCs w:val="32"/>
        </w:rPr>
        <w:t>023</w:t>
      </w:r>
      <w:r>
        <w:rPr>
          <w:rFonts w:hint="eastAsia" w:ascii="仿宋_GB2312" w:hAnsi="仿宋_GB2312" w:eastAsia="仿宋_GB2312" w:cs="仿宋_GB2312"/>
          <w:b/>
          <w:bCs/>
          <w:sz w:val="32"/>
          <w:szCs w:val="32"/>
        </w:rPr>
        <w:t>）</w:t>
      </w:r>
    </w:p>
    <w:p>
      <w:pPr>
        <w:spacing w:line="360" w:lineRule="auto"/>
        <w:rPr>
          <w:rFonts w:ascii="Times New Roman" w:hAnsi="Times New Roman" w:eastAsia="仿宋_GB2312"/>
          <w:sz w:val="24"/>
        </w:rPr>
      </w:pPr>
      <w:r>
        <w:rPr>
          <w:rFonts w:hint="eastAsia" w:ascii="Times New Roman" w:hAnsi="Times New Roman" w:eastAsia="仿宋_GB2312"/>
          <w:b/>
          <w:bCs/>
          <w:sz w:val="24"/>
        </w:rPr>
        <w:t>一、专业概况</w:t>
      </w:r>
    </w:p>
    <w:p>
      <w:pPr>
        <w:spacing w:line="360" w:lineRule="auto"/>
        <w:ind w:firstLine="480" w:firstLineChars="200"/>
        <w:rPr>
          <w:rFonts w:ascii="Times New Roman" w:hAnsi="Times New Roman" w:eastAsia="仿宋_GB2312"/>
          <w:sz w:val="24"/>
        </w:rPr>
      </w:pPr>
      <w:r>
        <w:rPr>
          <w:rFonts w:hint="eastAsia" w:ascii="Times New Roman" w:hAnsi="Times New Roman" w:eastAsia="仿宋_GB2312"/>
          <w:sz w:val="24"/>
        </w:rPr>
        <w:t xml:space="preserve">（一）基本条件 </w:t>
      </w:r>
    </w:p>
    <w:p>
      <w:pPr>
        <w:pStyle w:val="14"/>
        <w:shd w:val="clear" w:color="auto" w:fill="FFFFFF"/>
        <w:spacing w:before="0" w:beforeAutospacing="0" w:after="0" w:afterAutospacing="0" w:line="360" w:lineRule="auto"/>
        <w:ind w:firstLine="480" w:firstLineChars="200"/>
        <w:jc w:val="both"/>
        <w:rPr>
          <w:rFonts w:ascii="Times New Roman" w:hAnsi="Times New Roman" w:eastAsia="仿宋" w:cs="Times New Roman"/>
        </w:rPr>
      </w:pPr>
      <w:r>
        <w:rPr>
          <w:rFonts w:ascii="Times New Roman" w:hAnsi="Times New Roman" w:eastAsia="仿宋" w:cs="Times New Roman"/>
          <w:kern w:val="2"/>
        </w:rPr>
        <w:t>生物工程在分子生物学基础上建立的、为创建新的生物类型或新生物机能的实用技术，是现代生物科学和工程技术相结合的产物。具体而言，生物工程包括转基因植物、动物生物技术、农作物的分子育种技术、纳米生物技术、重要疾病的生物治疗等。生物工程学院生物工程专业，</w:t>
      </w:r>
      <w:r>
        <w:rPr>
          <w:rFonts w:ascii="Times New Roman" w:hAnsi="Times New Roman" w:eastAsia="仿宋" w:cs="Times New Roman"/>
        </w:rPr>
        <w:t>依托“发酵工程”国家级重点学科，始终坚持和拓展轻工特色，立足轻工、服务社会，立足京津冀、面向全国，建设特色优势明显、国内一流的本科专业，培养适应我国社会经济（特别是生物工程产业领域）发展需求的高素质专业人才。</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z w:val="24"/>
        </w:rPr>
        <w:t>天津科技大学生物工程专业前身是始建于1958年的发酵工程专业，是全国最早建设的发酵工程专业之一。1964年全国高等院校整合，北京轻工业学院发酵工程专业并入我校，使之成为我国高校中实力最强的发酵工程专业之一。1998年根据国家教育部颁布的“高等学校本科专业目录”更名为生物工程专业，</w:t>
      </w:r>
      <w:r>
        <w:rPr>
          <w:rFonts w:ascii="Times New Roman" w:hAnsi="Times New Roman" w:eastAsia="仿宋"/>
          <w:snapToGrid w:val="0"/>
          <w:kern w:val="0"/>
          <w:sz w:val="24"/>
        </w:rPr>
        <w:t>2009年生物工程专业被批准为国家级特色专业，2010年获批天津市品牌专业，2017年获批天津市优势特色专业，2019年获批天津市一流专业</w:t>
      </w:r>
      <w:r>
        <w:rPr>
          <w:rFonts w:hint="eastAsia" w:ascii="Times New Roman" w:hAnsi="Times New Roman" w:eastAsia="仿宋"/>
          <w:snapToGrid w:val="0"/>
          <w:kern w:val="0"/>
          <w:sz w:val="24"/>
        </w:rPr>
        <w:t>和国家级一流专业建设点，</w:t>
      </w:r>
      <w:r>
        <w:rPr>
          <w:rFonts w:ascii="Times New Roman" w:hAnsi="Times New Roman" w:eastAsia="仿宋"/>
          <w:sz w:val="24"/>
        </w:rPr>
        <w:t>并于2020年顺利通过工程教育认证。</w:t>
      </w:r>
      <w:bookmarkStart w:id="3" w:name="_GoBack"/>
      <w:bookmarkEnd w:id="3"/>
    </w:p>
    <w:p>
      <w:pPr>
        <w:spacing w:line="360" w:lineRule="auto"/>
        <w:ind w:firstLine="480" w:firstLineChars="200"/>
        <w:rPr>
          <w:rFonts w:ascii="Times New Roman" w:hAnsi="Times New Roman" w:eastAsia="仿宋"/>
          <w:snapToGrid w:val="0"/>
          <w:kern w:val="0"/>
          <w:sz w:val="24"/>
        </w:rPr>
      </w:pPr>
      <w:r>
        <w:rPr>
          <w:rFonts w:hint="eastAsia" w:ascii="Times New Roman" w:hAnsi="Times New Roman" w:eastAsia="仿宋"/>
          <w:snapToGrid w:val="0"/>
          <w:kern w:val="0"/>
          <w:sz w:val="24"/>
        </w:rPr>
        <w:t>所在学院设有轻工技术与工程一级学科博士点及博士后流动站、生物与医药专业学位博士点、生物工程、药学一级学科硕士点等。其中“发酵工程”是国家重点学科，轻工技术与工程、药学是天津市一流学科、重点学科。</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napToGrid w:val="0"/>
          <w:kern w:val="0"/>
          <w:sz w:val="24"/>
        </w:rPr>
        <w:t>生物工程学院拥有十四个国家级、省部级科研平台，包括生物工程国家级实验教学示范中心、省部共建食品营养与健康国家重点实验室、代谢控制发酵技术国家地方联合工程实验室、</w:t>
      </w:r>
      <w:r>
        <w:rPr>
          <w:rFonts w:ascii="Times New Roman" w:hAnsi="Times New Roman" w:eastAsia="仿宋"/>
          <w:sz w:val="24"/>
        </w:rPr>
        <w:t>工业酶国家工程实验室（组建单位）、</w:t>
      </w:r>
      <w:r>
        <w:rPr>
          <w:rFonts w:ascii="Times New Roman" w:hAnsi="Times New Roman" w:eastAsia="仿宋"/>
          <w:snapToGrid w:val="0"/>
          <w:kern w:val="0"/>
          <w:sz w:val="24"/>
        </w:rPr>
        <w:t>工业发酵微生物教育部重点实验室、教育部食品生物技术工程研究中心、天津市工业微生物重点实验室、天津市微生物代谢与控制技术工程中心、天津市氨基酸高效绿色制造工程实验室</w:t>
      </w:r>
      <w:r>
        <w:rPr>
          <w:rFonts w:ascii="Times New Roman" w:hAnsi="Times New Roman" w:eastAsia="仿宋"/>
          <w:snapToGrid w:val="0"/>
          <w:sz w:val="24"/>
        </w:rPr>
        <w:t>、</w:t>
      </w:r>
      <w:r>
        <w:rPr>
          <w:rFonts w:ascii="Times New Roman" w:hAnsi="Times New Roman" w:eastAsia="仿宋"/>
          <w:snapToGrid w:val="0"/>
          <w:kern w:val="0"/>
          <w:sz w:val="24"/>
        </w:rPr>
        <w:t>天津轻工清洁技术与工程协同创新中心、天津市发酵工程行业技术中心、科技部工业微生物菌种资源标准化整理及国家自然科技资源共享平台、劳动和社会保障部酿酒行业职业技能鉴定站和</w:t>
      </w:r>
      <w:bookmarkStart w:id="0" w:name="OLE_LINK4"/>
      <w:bookmarkStart w:id="1" w:name="OLE_LINK6"/>
      <w:bookmarkStart w:id="2" w:name="OLE_LINK5"/>
      <w:r>
        <w:rPr>
          <w:rFonts w:ascii="Times New Roman" w:hAnsi="Times New Roman" w:eastAsia="仿宋"/>
          <w:snapToGrid w:val="0"/>
          <w:kern w:val="0"/>
          <w:sz w:val="24"/>
        </w:rPr>
        <w:t>氨基酸行业职业技能鉴定站</w:t>
      </w:r>
      <w:bookmarkEnd w:id="0"/>
      <w:bookmarkEnd w:id="1"/>
      <w:bookmarkEnd w:id="2"/>
      <w:r>
        <w:rPr>
          <w:rFonts w:ascii="Times New Roman" w:hAnsi="Times New Roman" w:eastAsia="仿宋"/>
          <w:snapToGrid w:val="0"/>
          <w:kern w:val="0"/>
          <w:sz w:val="24"/>
        </w:rPr>
        <w:t>等。</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napToGrid w:val="0"/>
          <w:kern w:val="0"/>
          <w:sz w:val="24"/>
        </w:rPr>
        <w:t>强劲的学科优势为专业建设和教学水平的提高奠定了坚实的基础。50多年来，本专业共培养本科生4千余人，其中大多数已成为国内外</w:t>
      </w:r>
      <w:r>
        <w:rPr>
          <w:rFonts w:hint="eastAsia" w:ascii="Times New Roman" w:hAnsi="Times New Roman" w:eastAsia="仿宋"/>
          <w:snapToGrid w:val="0"/>
          <w:kern w:val="0"/>
          <w:sz w:val="24"/>
        </w:rPr>
        <w:t>生物工程</w:t>
      </w:r>
      <w:r>
        <w:rPr>
          <w:rFonts w:ascii="Times New Roman" w:hAnsi="Times New Roman" w:eastAsia="仿宋"/>
          <w:snapToGrid w:val="0"/>
          <w:kern w:val="0"/>
          <w:sz w:val="24"/>
        </w:rPr>
        <w:t>和生物医药行业的栋梁之材，特别是在酿酒、氨基酸、有机酸、酶制剂、酵母、生物能源等领军企业中均有一批我校学子担任公司总裁、经理和技术主管，为我国生物产业的发展做出了重大贡献。</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napToGrid w:val="0"/>
          <w:kern w:val="0"/>
          <w:sz w:val="24"/>
        </w:rPr>
        <w:t>生物工程专业的国际化程度较高，与国外多所大学保持密切的学术和人文交流。其中，与QS全球排名270，有着200年历史的英国传统公立高校赫瑞瓦特大学于2013年签署合作办学协议，共同开办生物工程（酿造与蒸馏）本科层次合作办学专业，3+1培养模式，即符合条件的学生大四赴英就读荣誉学位，满足学位要求可获得中英两校双学位。该专业年度招生60人，目前已有4届毕业学生，全部赴英学生均获得英国赫瑞瓦特大学本科学位，出国学生绝大多数选择在国外QS全球排名前100的高校继续深造，包括剑桥大学、爱丁堡大学、利兹大学、格拉斯哥大学、布里斯托大学、诺丁汉大学等。</w:t>
      </w:r>
    </w:p>
    <w:p>
      <w:pPr>
        <w:spacing w:line="360" w:lineRule="auto"/>
        <w:ind w:firstLine="480" w:firstLineChars="200"/>
        <w:rPr>
          <w:rFonts w:ascii="Times New Roman" w:hAnsi="Times New Roman" w:eastAsia="仿宋"/>
          <w:snapToGrid w:val="0"/>
          <w:kern w:val="0"/>
          <w:sz w:val="24"/>
        </w:rPr>
      </w:pPr>
      <w:r>
        <w:rPr>
          <w:rFonts w:ascii="Times New Roman" w:hAnsi="Times New Roman" w:eastAsia="仿宋"/>
          <w:snapToGrid w:val="0"/>
          <w:kern w:val="0"/>
          <w:sz w:val="24"/>
        </w:rPr>
        <w:t>响应习近平总书记“一带一路”倡议，生物工程学院于2017年开设Biological Engineering留学生全英文本科专业，实现学校工科类本科专业留学生教育新突破，首届毕业生于2021年全部顺利毕业并获得学士学位，毕业生大部分在本国生物工程相关领域顺利就业，其中一人被哈尔滨工业大学录取继续攻读硕士研究生；</w:t>
      </w:r>
    </w:p>
    <w:p>
      <w:pPr>
        <w:pStyle w:val="2"/>
        <w:spacing w:line="360" w:lineRule="auto"/>
        <w:ind w:firstLine="480"/>
        <w:rPr>
          <w:rFonts w:ascii="Times New Roman" w:hAnsi="Times New Roman" w:eastAsia="仿宋"/>
          <w:snapToGrid w:val="0"/>
          <w:kern w:val="0"/>
          <w:sz w:val="24"/>
          <w:szCs w:val="24"/>
        </w:rPr>
      </w:pPr>
      <w:r>
        <w:rPr>
          <w:rFonts w:ascii="Times New Roman" w:hAnsi="Times New Roman" w:eastAsia="仿宋"/>
          <w:snapToGrid w:val="0"/>
          <w:kern w:val="0"/>
          <w:sz w:val="24"/>
          <w:szCs w:val="24"/>
        </w:rPr>
        <w:t>生物工程学院与泰国易三仓大学生物技术学院有着良好合作关系，并从2014年开始共同举办“一带一路生物技术研讨双年会”，迄今为止共举办四届，并计划在本科学生短长期课程与学位项目上进一步开拓合作。</w:t>
      </w:r>
    </w:p>
    <w:p>
      <w:pPr>
        <w:pStyle w:val="2"/>
        <w:spacing w:line="360" w:lineRule="auto"/>
        <w:ind w:firstLine="480"/>
        <w:rPr>
          <w:rFonts w:ascii="Times New Roman" w:hAnsi="Times New Roman" w:eastAsia="仿宋"/>
          <w:snapToGrid w:val="0"/>
          <w:kern w:val="0"/>
          <w:sz w:val="24"/>
          <w:szCs w:val="24"/>
        </w:rPr>
      </w:pPr>
      <w:r>
        <w:rPr>
          <w:rFonts w:ascii="Times New Roman" w:hAnsi="Times New Roman" w:eastAsia="仿宋"/>
          <w:snapToGrid w:val="0"/>
          <w:kern w:val="0"/>
          <w:sz w:val="24"/>
          <w:szCs w:val="24"/>
        </w:rPr>
        <w:t>生物工程专业在产学研合作上有着深厚基础和长远规划。依托生物工程专业特色和学科优势，落实教育部、工信部印发《现代产业学院建设指南（试行）、《教育部高等教育司关于开展首批现代产业学院申报与建设工作的通知》等文件精神，生物工程学院与生物医药产业五家头部企业康希诺生物股份公司、天津瑞普生物技术股份有限公司、华熙生物科技(天津)有限公司、天津药物研究院有限公司、丹娜（天津）生物科技股份有限公司共同成立“生物医药现代产业学院”，围绕天津市1+3+4产业结构布局，和滨城“生物医药”重点产业规划，着力推进新工科建设，建立高校与地方政府、行业企业等多主体，共建、共管、共享的价值发展共同体，现代产业学院中同时并行“鹤鸣书院”，以学院制、书院制并行的管理模式，践行“立德树人”根本宗旨，培养具有扎实专业基础、丰富产业经验、深厚人文底蕴的适应新的生产力水平发展需求的现代生物医药产业人才。</w:t>
      </w:r>
    </w:p>
    <w:p>
      <w:pPr>
        <w:adjustRightInd w:val="0"/>
        <w:snapToGrid w:val="0"/>
        <w:spacing w:line="360" w:lineRule="auto"/>
        <w:ind w:firstLine="480" w:firstLineChars="200"/>
        <w:rPr>
          <w:rFonts w:ascii="Times New Roman" w:hAnsi="Times New Roman" w:eastAsia="仿宋"/>
          <w:sz w:val="24"/>
        </w:rPr>
      </w:pPr>
      <w:r>
        <w:rPr>
          <w:rFonts w:ascii="Times New Roman" w:hAnsi="Times New Roman" w:eastAsia="仿宋"/>
          <w:sz w:val="24"/>
        </w:rPr>
        <w:t>“十三五”期间，依托生物工程专业优势，生物工程学院获得“</w:t>
      </w:r>
      <w:r>
        <w:rPr>
          <w:rFonts w:ascii="Times New Roman" w:hAnsi="Times New Roman" w:eastAsia="仿宋"/>
          <w:snapToGrid w:val="0"/>
          <w:kern w:val="0"/>
          <w:sz w:val="24"/>
        </w:rPr>
        <w:t>十三五”生物发酵行业科技创新先进集体、标准工作先进集体</w:t>
      </w:r>
      <w:r>
        <w:rPr>
          <w:rFonts w:ascii="Times New Roman" w:hAnsi="Times New Roman" w:eastAsia="仿宋"/>
          <w:sz w:val="24"/>
        </w:rPr>
        <w:t>”；获得天津市工程专业学位优秀教学成果奖一等奖1项；教改项目《面向轻工行业的生物工程创新型卓越工程人才培养的探索与实践》获批天津市教学成果奖培育项目、天津市教学成果奖一等奖；各类省部级教改项目5项，校级教改项目2项。</w:t>
      </w:r>
    </w:p>
    <w:p>
      <w:pPr>
        <w:pStyle w:val="2"/>
        <w:spacing w:line="360" w:lineRule="auto"/>
        <w:ind w:firstLine="480"/>
        <w:rPr>
          <w:rFonts w:ascii="Times New Roman" w:hAnsi="Times New Roman" w:eastAsia="仿宋"/>
          <w:sz w:val="24"/>
          <w:szCs w:val="24"/>
        </w:rPr>
      </w:pPr>
      <w:r>
        <w:rPr>
          <w:rFonts w:ascii="Times New Roman" w:hAnsi="Times New Roman" w:eastAsia="仿宋"/>
          <w:sz w:val="24"/>
          <w:szCs w:val="24"/>
        </w:rPr>
        <w:t>生物工程专业教师主编或参编代表性教材28本，其中2本教材分别获得 “中国轻工业优秀教材”一、二等奖，5本教材入选中国轻工业“十三五”规划教材；建设国家级精品课程、一流课程4门，国家级教学团队1支，其中</w:t>
      </w:r>
      <w:r>
        <w:rPr>
          <w:rFonts w:ascii="Times New Roman" w:hAnsi="Times New Roman" w:eastAsia="仿宋"/>
          <w:snapToGrid w:val="0"/>
          <w:kern w:val="0"/>
          <w:sz w:val="24"/>
          <w:szCs w:val="24"/>
        </w:rPr>
        <w:t>《微生物学》入选第一批国家一流课程；建设</w:t>
      </w:r>
      <w:r>
        <w:rPr>
          <w:rFonts w:ascii="Times New Roman" w:hAnsi="Times New Roman" w:eastAsia="仿宋"/>
          <w:sz w:val="24"/>
          <w:szCs w:val="24"/>
        </w:rPr>
        <w:t>省部级精品课程、一流课程（含虚拟仿真）7门，省部级教学团队3支；发表各类教改论文27篇；</w:t>
      </w:r>
      <w:r>
        <w:rPr>
          <w:rFonts w:ascii="Times New Roman" w:hAnsi="Times New Roman" w:eastAsia="仿宋"/>
          <w:spacing w:val="-7"/>
          <w:sz w:val="24"/>
          <w:szCs w:val="24"/>
        </w:rPr>
        <w:t>近</w:t>
      </w:r>
      <w:r>
        <w:rPr>
          <w:rFonts w:ascii="Times New Roman" w:hAnsi="Times New Roman" w:eastAsia="Times New Roman"/>
          <w:spacing w:val="-7"/>
          <w:sz w:val="24"/>
          <w:szCs w:val="24"/>
        </w:rPr>
        <w:t>3</w:t>
      </w:r>
      <w:r>
        <w:rPr>
          <w:rFonts w:ascii="Times New Roman" w:hAnsi="Times New Roman" w:eastAsia="仿宋"/>
          <w:spacing w:val="-7"/>
          <w:sz w:val="24"/>
          <w:szCs w:val="24"/>
        </w:rPr>
        <w:t>年</w:t>
      </w:r>
      <w:r>
        <w:rPr>
          <w:rFonts w:ascii="Times New Roman" w:hAnsi="Times New Roman" w:eastAsia="仿宋"/>
          <w:sz w:val="24"/>
          <w:szCs w:val="24"/>
        </w:rPr>
        <w:t>本科生在省部级以上竞赛如国际基因工程机器大赛（iGEM）金牌、国际互联网+大学生创新创业大赛等共获奖项66项，其中，第七届国际互联网+大学生创新创业大赛中国赛铜奖两项、省部级金奖4项、银奖3项、铜奖2项，第八届“创青春”国赛优秀奖等，</w:t>
      </w:r>
      <w:r>
        <w:rPr>
          <w:rFonts w:ascii="Times New Roman" w:hAnsi="Times New Roman" w:eastAsia="仿宋"/>
          <w:spacing w:val="-1"/>
          <w:sz w:val="24"/>
          <w:szCs w:val="24"/>
        </w:rPr>
        <w:t>发表学术论文</w:t>
      </w:r>
      <w:r>
        <w:rPr>
          <w:rFonts w:ascii="Times New Roman" w:hAnsi="Times New Roman" w:eastAsia="Times New Roman"/>
          <w:spacing w:val="-1"/>
          <w:sz w:val="24"/>
          <w:szCs w:val="24"/>
        </w:rPr>
        <w:t>55</w:t>
      </w:r>
      <w:r>
        <w:rPr>
          <w:rFonts w:ascii="Times New Roman" w:hAnsi="Times New Roman" w:eastAsia="仿宋"/>
          <w:spacing w:val="-1"/>
          <w:sz w:val="24"/>
          <w:szCs w:val="24"/>
        </w:rPr>
        <w:t>篇、发明专利</w:t>
      </w:r>
      <w:r>
        <w:rPr>
          <w:rFonts w:ascii="Times New Roman" w:hAnsi="Times New Roman" w:eastAsia="Times New Roman"/>
          <w:spacing w:val="-1"/>
          <w:sz w:val="24"/>
          <w:szCs w:val="24"/>
        </w:rPr>
        <w:t>18</w:t>
      </w:r>
      <w:r>
        <w:rPr>
          <w:rFonts w:ascii="Times New Roman" w:hAnsi="Times New Roman" w:eastAsia="仿宋"/>
          <w:spacing w:val="-1"/>
          <w:sz w:val="24"/>
          <w:szCs w:val="24"/>
        </w:rPr>
        <w:t>项</w:t>
      </w:r>
      <w:r>
        <w:rPr>
          <w:rFonts w:ascii="Times New Roman" w:hAnsi="Times New Roman" w:eastAsia="仿宋"/>
          <w:sz w:val="24"/>
          <w:szCs w:val="24"/>
        </w:rPr>
        <w:t>。</w:t>
      </w:r>
    </w:p>
    <w:p>
      <w:pPr>
        <w:pStyle w:val="2"/>
        <w:spacing w:line="360" w:lineRule="auto"/>
        <w:ind w:left="480" w:firstLine="0" w:firstLineChars="0"/>
        <w:rPr>
          <w:rFonts w:ascii="仿宋" w:hAnsi="仿宋" w:eastAsia="仿宋" w:cs="仿宋"/>
          <w:color w:val="FF0000"/>
          <w:sz w:val="24"/>
          <w:szCs w:val="24"/>
        </w:rPr>
      </w:pPr>
      <w:r>
        <w:rPr>
          <w:rFonts w:hint="eastAsia" w:ascii="Times New Roman" w:hAnsi="Times New Roman"/>
          <w:sz w:val="24"/>
          <w:szCs w:val="24"/>
        </w:rPr>
        <w:t>（二）教师情况</w:t>
      </w:r>
    </w:p>
    <w:p>
      <w:pPr>
        <w:spacing w:line="360" w:lineRule="auto"/>
        <w:ind w:firstLine="480" w:firstLineChars="200"/>
        <w:rPr>
          <w:rFonts w:ascii="仿宋" w:hAnsi="仿宋" w:eastAsia="仿宋" w:cs="仿宋"/>
          <w:sz w:val="24"/>
        </w:rPr>
      </w:pPr>
      <w:r>
        <w:rPr>
          <w:rFonts w:hint="eastAsia" w:ascii="仿宋" w:hAnsi="仿宋" w:eastAsia="仿宋" w:cs="仿宋"/>
          <w:kern w:val="0"/>
          <w:sz w:val="24"/>
        </w:rPr>
        <w:t>本专业共有专业教师55人，另有实验辅助人员11人。本专业在校本科生403人，生师比（在校学生/专职专业教师）为7.32，该生师比满足教学需求。因此本专业专职教师数量能够满足教学需要，见</w:t>
      </w:r>
      <w:r>
        <w:rPr>
          <w:rFonts w:hint="eastAsia" w:ascii="仿宋" w:hAnsi="仿宋" w:eastAsia="仿宋" w:cs="仿宋"/>
          <w:b/>
          <w:kern w:val="0"/>
          <w:sz w:val="24"/>
        </w:rPr>
        <w:t>表1。</w:t>
      </w:r>
      <w:r>
        <w:rPr>
          <w:rFonts w:hint="eastAsia" w:ascii="仿宋" w:hAnsi="仿宋" w:eastAsia="仿宋" w:cs="仿宋"/>
          <w:kern w:val="0"/>
          <w:sz w:val="24"/>
        </w:rPr>
        <w:t>同时，本专业现有国家“万人计划”教师1人、国家百千万工程计划人才1人、国家级教学名师1人、国务院政府特贴专家1人、教育部新世纪优秀人才1人、科技部中青年科技创新领军人才2人、天津市特聘教授6人、天津市“131”第一层次2人、天津市创新人才推进计划中青年科技创新领军人才1人、青年科技优秀人才2人，天津市特支计划青年拔尖人才1人，为专业的教学育人工作提供了重要的优质师资保障。</w:t>
      </w:r>
    </w:p>
    <w:p>
      <w:pPr>
        <w:tabs>
          <w:tab w:val="left" w:pos="284"/>
        </w:tabs>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本专业教师队伍职称结构合理。教授/研究员27人，副教授/副研究员15人，中级教师13人。正高级职称占比49.1%，副高级职称占比27.3%，中级职称占比23.6%，见</w:t>
      </w:r>
      <w:r>
        <w:rPr>
          <w:rFonts w:hint="eastAsia" w:ascii="仿宋" w:hAnsi="仿宋" w:eastAsia="仿宋" w:cs="仿宋"/>
          <w:b/>
          <w:kern w:val="0"/>
          <w:sz w:val="24"/>
        </w:rPr>
        <w:t>表1。</w:t>
      </w:r>
    </w:p>
    <w:p>
      <w:pPr>
        <w:spacing w:line="360" w:lineRule="auto"/>
        <w:ind w:firstLine="480" w:firstLineChars="200"/>
        <w:rPr>
          <w:rFonts w:ascii="仿宋" w:hAnsi="仿宋" w:eastAsia="仿宋" w:cs="仿宋"/>
          <w:sz w:val="24"/>
        </w:rPr>
      </w:pPr>
      <w:r>
        <w:rPr>
          <w:rFonts w:hint="eastAsia" w:ascii="仿宋" w:hAnsi="仿宋" w:eastAsia="仿宋" w:cs="仿宋"/>
          <w:kern w:val="0"/>
          <w:sz w:val="24"/>
        </w:rPr>
        <w:t>本专业教师队伍年龄结构合理。其中，35岁以下教师14人，36~45岁教师25人，46~55岁教师11人，56岁以上教师5人；45岁以下中青年教师39人，占比71%，本专业具有一支以中青年教师为主的教学团队，见</w:t>
      </w:r>
      <w:r>
        <w:rPr>
          <w:rFonts w:hint="eastAsia" w:ascii="仿宋" w:hAnsi="仿宋" w:eastAsia="仿宋" w:cs="仿宋"/>
          <w:b/>
          <w:kern w:val="0"/>
          <w:sz w:val="24"/>
        </w:rPr>
        <w:t>表1。</w:t>
      </w:r>
    </w:p>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本专业教师队伍具有高学历教育背景。具有博士学位教师56人，占比100%；见</w:t>
      </w:r>
      <w:r>
        <w:rPr>
          <w:rFonts w:hint="eastAsia" w:ascii="仿宋" w:hAnsi="仿宋" w:eastAsia="仿宋" w:cs="仿宋"/>
          <w:b/>
          <w:kern w:val="0"/>
          <w:sz w:val="24"/>
        </w:rPr>
        <w:t>表1。</w:t>
      </w:r>
    </w:p>
    <w:p>
      <w:pPr>
        <w:spacing w:line="360" w:lineRule="auto"/>
        <w:ind w:left="531" w:leftChars="253"/>
        <w:jc w:val="center"/>
        <w:rPr>
          <w:rFonts w:ascii="仿宋" w:hAnsi="仿宋" w:eastAsia="仿宋" w:cs="仿宋"/>
          <w:b/>
          <w:sz w:val="24"/>
        </w:rPr>
      </w:pPr>
      <w:r>
        <w:rPr>
          <w:rFonts w:hint="eastAsia" w:ascii="仿宋" w:hAnsi="仿宋" w:eastAsia="仿宋" w:cs="仿宋"/>
          <w:b/>
          <w:kern w:val="0"/>
          <w:sz w:val="24"/>
        </w:rPr>
        <w:t>表1</w:t>
      </w:r>
      <w:r>
        <w:rPr>
          <w:rFonts w:hint="eastAsia" w:ascii="仿宋" w:hAnsi="仿宋" w:eastAsia="仿宋" w:cs="仿宋"/>
          <w:b/>
          <w:sz w:val="24"/>
        </w:rPr>
        <w:t>本专业专职教师队伍结构</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905"/>
        <w:gridCol w:w="2474"/>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982" w:type="dxa"/>
            <w:gridSpan w:val="2"/>
            <w:vMerge w:val="restart"/>
            <w:tcBorders>
              <w:top w:val="single" w:color="000000" w:sz="8" w:space="0"/>
              <w:left w:val="single" w:color="000000" w:sz="8" w:space="0"/>
              <w:bottom w:val="single" w:color="000000" w:sz="8" w:space="0"/>
              <w:right w:val="single" w:color="000000" w:sz="8" w:space="0"/>
            </w:tcBorders>
            <w:vAlign w:val="center"/>
          </w:tcPr>
          <w:p>
            <w:pPr>
              <w:spacing w:line="360" w:lineRule="auto"/>
              <w:jc w:val="center"/>
              <w:rPr>
                <w:rFonts w:ascii="仿宋" w:hAnsi="仿宋" w:eastAsia="仿宋" w:cs="仿宋"/>
                <w:sz w:val="24"/>
              </w:rPr>
            </w:pPr>
            <w:r>
              <w:rPr>
                <w:rFonts w:hint="eastAsia" w:ascii="仿宋" w:hAnsi="仿宋" w:eastAsia="仿宋" w:cs="仿宋"/>
                <w:b/>
                <w:bCs/>
                <w:sz w:val="24"/>
              </w:rPr>
              <w:t>总体情况</w:t>
            </w:r>
          </w:p>
        </w:tc>
        <w:tc>
          <w:tcPr>
            <w:tcW w:w="4650" w:type="dxa"/>
            <w:gridSpan w:val="2"/>
            <w:tcBorders>
              <w:top w:val="single" w:color="000000" w:sz="8" w:space="0"/>
              <w:left w:val="single" w:color="auto"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b/>
                <w:bCs/>
                <w:sz w:val="24"/>
              </w:rPr>
              <w:t>专任教师人数及比例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982" w:type="dxa"/>
            <w:gridSpan w:val="2"/>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2474" w:type="dxa"/>
            <w:tcBorders>
              <w:top w:val="single" w:color="000000" w:sz="8" w:space="0"/>
              <w:left w:val="single" w:color="auto"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b/>
                <w:bCs/>
                <w:sz w:val="24"/>
              </w:rPr>
              <w:t>人数</w:t>
            </w:r>
          </w:p>
        </w:tc>
        <w:tc>
          <w:tcPr>
            <w:tcW w:w="2176" w:type="dxa"/>
            <w:tcBorders>
              <w:top w:val="single" w:color="auto"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b/>
                <w:bCs/>
                <w:sz w:val="24"/>
              </w:rPr>
              <w:t>比例（%</w:t>
            </w:r>
            <w:r>
              <w:rPr>
                <w:rFonts w:hint="eastAsia" w:ascii="仿宋" w:hAnsi="仿宋" w:eastAsia="仿宋" w:cs="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982" w:type="dxa"/>
            <w:gridSpan w:val="2"/>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2474" w:type="dxa"/>
            <w:tcBorders>
              <w:top w:val="single" w:color="000000" w:sz="8" w:space="0"/>
              <w:left w:val="single" w:color="auto"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55</w:t>
            </w:r>
          </w:p>
        </w:tc>
        <w:tc>
          <w:tcPr>
            <w:tcW w:w="2176"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7" w:type="dxa"/>
            <w:vMerge w:val="restart"/>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b/>
                <w:bCs/>
                <w:sz w:val="24"/>
              </w:rPr>
              <w:t>职称</w:t>
            </w:r>
          </w:p>
        </w:tc>
        <w:tc>
          <w:tcPr>
            <w:tcW w:w="1905" w:type="dxa"/>
            <w:tcBorders>
              <w:top w:val="single" w:color="auto"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正高级</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27</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49.1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副高级</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15</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27.3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中级</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13</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23.6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初级及以下</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0</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77" w:type="dxa"/>
            <w:vMerge w:val="restart"/>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b/>
                <w:bCs/>
                <w:sz w:val="24"/>
              </w:rPr>
              <w:t>学位</w:t>
            </w: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博士</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55</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100.0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硕士</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0</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学士及以下</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0</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77" w:type="dxa"/>
            <w:vMerge w:val="restart"/>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b/>
                <w:bCs/>
                <w:sz w:val="24"/>
              </w:rPr>
              <w:t>年龄</w:t>
            </w: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35岁及以下</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14</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25.5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36~45岁</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25</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45.5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46~55岁</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11</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77" w:type="dxa"/>
            <w:vMerge w:val="continue"/>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p>
        </w:tc>
        <w:tc>
          <w:tcPr>
            <w:tcW w:w="1905"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56岁及以上</w:t>
            </w:r>
          </w:p>
        </w:tc>
        <w:tc>
          <w:tcPr>
            <w:tcW w:w="2474" w:type="dxa"/>
            <w:tcBorders>
              <w:top w:val="single" w:color="000000" w:sz="8" w:space="0"/>
              <w:left w:val="single" w:color="000000" w:sz="8" w:space="0"/>
              <w:bottom w:val="single" w:color="000000" w:sz="8" w:space="0"/>
              <w:right w:val="single" w:color="000000" w:sz="8" w:space="0"/>
            </w:tcBorders>
          </w:tcPr>
          <w:p>
            <w:pPr>
              <w:spacing w:line="360" w:lineRule="auto"/>
              <w:jc w:val="center"/>
              <w:rPr>
                <w:rFonts w:ascii="仿宋" w:hAnsi="仿宋" w:eastAsia="仿宋" w:cs="仿宋"/>
                <w:sz w:val="24"/>
              </w:rPr>
            </w:pPr>
            <w:r>
              <w:rPr>
                <w:rFonts w:hint="eastAsia" w:ascii="仿宋" w:hAnsi="仿宋" w:eastAsia="仿宋" w:cs="仿宋"/>
                <w:sz w:val="24"/>
              </w:rPr>
              <w:t>5</w:t>
            </w:r>
          </w:p>
        </w:tc>
        <w:tc>
          <w:tcPr>
            <w:tcW w:w="2176" w:type="dxa"/>
            <w:tcBorders>
              <w:top w:val="single" w:color="000000" w:sz="8" w:space="0"/>
              <w:left w:val="single" w:color="000000" w:sz="8" w:space="0"/>
              <w:bottom w:val="single" w:color="000000" w:sz="8" w:space="0"/>
              <w:right w:val="single" w:color="000000" w:sz="8" w:space="0"/>
            </w:tcBorders>
          </w:tcPr>
          <w:p>
            <w:pPr>
              <w:widowControl/>
              <w:spacing w:line="360" w:lineRule="auto"/>
              <w:jc w:val="center"/>
              <w:textAlignment w:val="top"/>
              <w:rPr>
                <w:rFonts w:ascii="仿宋" w:hAnsi="仿宋" w:eastAsia="仿宋" w:cs="仿宋"/>
                <w:sz w:val="24"/>
              </w:rPr>
            </w:pPr>
            <w:r>
              <w:rPr>
                <w:rFonts w:hint="eastAsia" w:ascii="仿宋" w:hAnsi="仿宋" w:eastAsia="仿宋" w:cs="仿宋"/>
                <w:color w:val="000000"/>
                <w:kern w:val="0"/>
                <w:sz w:val="24"/>
                <w:lang w:bidi="ar"/>
              </w:rPr>
              <w:t xml:space="preserve">9.1 </w:t>
            </w:r>
          </w:p>
        </w:tc>
      </w:tr>
    </w:tbl>
    <w:p>
      <w:pPr>
        <w:spacing w:line="360" w:lineRule="auto"/>
        <w:ind w:firstLine="480" w:firstLineChars="200"/>
        <w:jc w:val="left"/>
        <w:rPr>
          <w:rFonts w:ascii="仿宋" w:hAnsi="仿宋" w:eastAsia="仿宋" w:cs="仿宋"/>
          <w:color w:val="FF0000"/>
          <w:sz w:val="24"/>
        </w:rPr>
      </w:pPr>
      <w:r>
        <w:rPr>
          <w:rFonts w:hint="eastAsia" w:ascii="仿宋" w:hAnsi="仿宋" w:eastAsia="仿宋" w:cs="仿宋"/>
          <w:sz w:val="24"/>
        </w:rPr>
        <w:t>注：表中数据指在职全职教师。</w:t>
      </w:r>
    </w:p>
    <w:p>
      <w:pPr>
        <w:pStyle w:val="2"/>
        <w:spacing w:line="360" w:lineRule="auto"/>
        <w:ind w:firstLine="0" w:firstLineChars="0"/>
        <w:rPr>
          <w:rFonts w:ascii="Times New Roman" w:hAnsi="Times New Roman"/>
          <w:color w:val="FF0000"/>
          <w:sz w:val="24"/>
          <w:szCs w:val="24"/>
        </w:rPr>
      </w:pPr>
      <w:r>
        <w:rPr>
          <w:rFonts w:hint="eastAsia" w:ascii="Times New Roman" w:hAnsi="Times New Roman"/>
          <w:b/>
          <w:bCs/>
          <w:sz w:val="24"/>
          <w:szCs w:val="24"/>
        </w:rPr>
        <w:t xml:space="preserve">二、专业发展中亟待解决的主要问题 </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生物工程专业是在轻工专业基础上发展起来的专业，目前的教学软硬件条件较大程度地依托于轻工尤其是发酵工程专业，目前生物工程专业发展中尚存在以下亟待解决的问题：</w:t>
      </w:r>
      <w:r>
        <w:rPr>
          <w:rFonts w:ascii="仿宋" w:hAnsi="仿宋" w:eastAsia="仿宋"/>
          <w:sz w:val="24"/>
          <w:szCs w:val="24"/>
        </w:rPr>
        <w:t xml:space="preserve"> </w:t>
      </w:r>
    </w:p>
    <w:p>
      <w:pPr>
        <w:pStyle w:val="2"/>
        <w:spacing w:line="360" w:lineRule="auto"/>
        <w:ind w:firstLine="0" w:firstLineChars="0"/>
        <w:rPr>
          <w:rFonts w:ascii="仿宋" w:hAnsi="仿宋" w:eastAsia="仿宋"/>
          <w:sz w:val="24"/>
          <w:szCs w:val="24"/>
        </w:rPr>
      </w:pPr>
      <w:r>
        <w:rPr>
          <w:rFonts w:hint="eastAsia" w:ascii="仿宋" w:hAnsi="仿宋" w:eastAsia="仿宋"/>
          <w:sz w:val="24"/>
          <w:szCs w:val="24"/>
        </w:rPr>
        <w:t>1）进一步加强课程体系模式改革，更新培养理念，进一步坚持以产出为导向的工程教育理念；</w:t>
      </w:r>
    </w:p>
    <w:p>
      <w:pPr>
        <w:pStyle w:val="2"/>
        <w:spacing w:line="360" w:lineRule="auto"/>
        <w:ind w:firstLine="0" w:firstLineChars="0"/>
        <w:rPr>
          <w:rFonts w:ascii="仿宋" w:hAnsi="仿宋" w:eastAsia="仿宋"/>
          <w:sz w:val="24"/>
          <w:szCs w:val="24"/>
        </w:rPr>
      </w:pPr>
      <w:r>
        <w:rPr>
          <w:rFonts w:hint="eastAsia" w:ascii="仿宋" w:hAnsi="仿宋" w:eastAsia="仿宋"/>
          <w:sz w:val="24"/>
          <w:szCs w:val="24"/>
        </w:rPr>
        <w:t>2）优化课程体系，进一步加强实践教学类课程建设，亟需解决人均实验室面积和人均设备套数不足和实验教学经费紧张的问题；</w:t>
      </w:r>
    </w:p>
    <w:p>
      <w:pPr>
        <w:pStyle w:val="2"/>
        <w:spacing w:line="360" w:lineRule="auto"/>
        <w:ind w:firstLine="0" w:firstLineChars="0"/>
        <w:rPr>
          <w:rFonts w:ascii="仿宋" w:hAnsi="仿宋" w:eastAsia="仿宋"/>
          <w:sz w:val="24"/>
          <w:szCs w:val="24"/>
        </w:rPr>
      </w:pPr>
      <w:r>
        <w:rPr>
          <w:rFonts w:hint="eastAsia" w:ascii="仿宋" w:hAnsi="仿宋" w:eastAsia="仿宋"/>
          <w:sz w:val="24"/>
          <w:szCs w:val="24"/>
        </w:rPr>
        <w:t>3）丰富实践环节的教学形式，实践环节除了包括基础实验、专业基础实验和专业实验之外，应开辟综合型和设计型的综合大实验。工程设计、实习科技创新、创业和社会实践等多种形式；</w:t>
      </w:r>
    </w:p>
    <w:p>
      <w:pPr>
        <w:pStyle w:val="2"/>
        <w:spacing w:line="360" w:lineRule="auto"/>
        <w:ind w:firstLine="0" w:firstLineChars="0"/>
        <w:rPr>
          <w:rFonts w:ascii="仿宋" w:hAnsi="仿宋" w:eastAsia="仿宋"/>
          <w:sz w:val="24"/>
          <w:szCs w:val="24"/>
        </w:rPr>
      </w:pPr>
      <w:r>
        <w:rPr>
          <w:rFonts w:hint="eastAsia" w:ascii="仿宋" w:hAnsi="仿宋" w:eastAsia="仿宋"/>
          <w:sz w:val="24"/>
          <w:szCs w:val="24"/>
        </w:rPr>
        <w:t>4）进一步加强专业师资队伍建设，进一步培养和提升青年教师的教学基本功和工程实践能力；加强国际化教师的引进和培养；</w:t>
      </w:r>
    </w:p>
    <w:p>
      <w:pPr>
        <w:pStyle w:val="2"/>
        <w:spacing w:line="360" w:lineRule="auto"/>
        <w:ind w:firstLine="0" w:firstLineChars="0"/>
        <w:rPr>
          <w:rFonts w:ascii="Times New Roman" w:hAnsi="Times New Roman"/>
          <w:color w:val="FF0000"/>
          <w:sz w:val="24"/>
          <w:szCs w:val="24"/>
        </w:rPr>
      </w:pPr>
      <w:r>
        <w:rPr>
          <w:rFonts w:hint="eastAsia" w:ascii="Times New Roman" w:hAnsi="Times New Roman"/>
          <w:b/>
          <w:bCs/>
          <w:sz w:val="24"/>
          <w:szCs w:val="24"/>
        </w:rPr>
        <w:t xml:space="preserve">三、专业新时期指导思想 </w:t>
      </w:r>
    </w:p>
    <w:p>
      <w:pPr>
        <w:pStyle w:val="2"/>
        <w:spacing w:line="360" w:lineRule="auto"/>
        <w:ind w:firstLine="420" w:firstLineChars="0"/>
        <w:rPr>
          <w:rFonts w:ascii="Times New Roman" w:hAnsi="Times New Roman" w:eastAsia="仿宋"/>
          <w:kern w:val="0"/>
          <w:sz w:val="24"/>
          <w:szCs w:val="24"/>
        </w:rPr>
      </w:pPr>
      <w:r>
        <w:rPr>
          <w:rFonts w:hint="eastAsia" w:ascii="Times New Roman" w:hAnsi="Times New Roman" w:eastAsia="仿宋"/>
          <w:kern w:val="0"/>
          <w:sz w:val="24"/>
          <w:szCs w:val="24"/>
        </w:rPr>
        <w:t>以教育观念转变为先导，以教学改革为核心，以一流专业课程建设为重点，注重提高办学质量，突出轻工专业特色，用新时期的人才观、质量观、教学观指导生物工程专业建设，在通识教育的基础上建立宽口径专业教育，注重交叉创新，坚持知识、能力素质教育并重。努力建设基础扎实、专业口径宽、理工农医交叉、人文与科学交融的培养模式及相应的生物工程教学体系。努力培养“厚基础、能力强、具有创新和创业意识、国际视野”生物工程专业高素质应用型人才，立足天津面向全国构筑生物工程人才高地提供保证。</w:t>
      </w:r>
    </w:p>
    <w:p>
      <w:pPr>
        <w:pStyle w:val="2"/>
        <w:spacing w:line="360" w:lineRule="auto"/>
        <w:ind w:firstLine="0" w:firstLineChars="0"/>
        <w:rPr>
          <w:rFonts w:ascii="Times New Roman" w:hAnsi="Times New Roman"/>
          <w:b/>
          <w:bCs/>
          <w:sz w:val="24"/>
          <w:szCs w:val="24"/>
        </w:rPr>
      </w:pPr>
      <w:r>
        <w:rPr>
          <w:rFonts w:hint="eastAsia" w:ascii="Times New Roman" w:hAnsi="Times New Roman"/>
          <w:b/>
          <w:bCs/>
          <w:sz w:val="24"/>
          <w:szCs w:val="24"/>
        </w:rPr>
        <w:t xml:space="preserve">四、专业培养新定位 </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（一）行业现状</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生物工程在分子生物学基础上建立的、为创建新的生物类型或新生物机能的实用技术，是现代生物科学和工程技术相结合的产物。具体而言，生物工程包括转基因植物、动物生物技术、农作物的分子育种技术、纳米生物技术、重要疾病的生物治疗等。当前，全球生物经济处于由起步向快速发展的转折期，现代生物技术发展也逐渐进入大规模产业化阶段，蓬勃兴起和迅猛发展的生物医药、生物农业、生物能源、生物制造、生物环保等领域，正在促使生物产业成为世界经济中又一个新的主导产业。</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世界主要国家与地区都将生物制造作为生物经济战略的规划重点，美国发布了《国家生物经济蓝图》，欧洲推出了《工业生物技术路线图》，德国政府发布了《生物经济战略》，俄罗斯通过了《俄罗斯联邦生物技术发展综合计划（2012-2020）》，印度公布了《国家生物技术发展战略》，韩国制定了《生物经济基本战略》，日本政府将“绿色技术创新和生命科学的创新”作为国家的重点战略，加速抢占生物技术的制高点，加快推动生物技术产业革命性发展的步伐。</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我国具有发展生物产业的技术基础和巨大市场需求。大力发展生物技术产业，是培育我国新的经济增长点、提升我国产业国际分工地位和保障国家长远发展的需要。目前，生物经济正成为中国经济的重要增长点之一，已经形成了京津冀、“长三角”、“珠三角”为核心的生物产业聚集区。我国编制出台的《“十三五”战略性新兴产业发展规划》和《“十三五”生物产业发展规划》，明确提出促进生物技术创新与产业化，加速生物产业规模化、集聚化和国际化发展的政策目标，其中生物医药、生物材料、生物能源、生物农业成为优先发展的重点领域。2010-20</w:t>
      </w:r>
      <w:r>
        <w:rPr>
          <w:rFonts w:ascii="仿宋" w:hAnsi="仿宋" w:eastAsia="仿宋"/>
          <w:sz w:val="24"/>
          <w:szCs w:val="24"/>
        </w:rPr>
        <w:t>20</w:t>
      </w:r>
      <w:r>
        <w:rPr>
          <w:rFonts w:hint="eastAsia" w:ascii="仿宋" w:hAnsi="仿宋" w:eastAsia="仿宋"/>
          <w:sz w:val="24"/>
          <w:szCs w:val="24"/>
        </w:rPr>
        <w:t>年，我国生物技术产业规模从3156亿元增加到1.5万亿元以上。</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（二）人才需求分析</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围绕国家中长期教育改革和发展规划纲要，对人才需求应符合社会主义事业合格建设者和可靠接班人标准，综合素质、专业理论基础和专业知识结构等方面优秀，信念执著、品德优良、知识丰富、本领过硬的高素质专门人才和拔尖创新人才。另外，企业期望高校在培养生物工程专业人才过程中进一步强化工程实践能力培养，同时，企业也希望毕业生在竞争意识、创新创业素质、人际沟通能力及组织协调能力等综合素质有所加强。因此，生物产业对人才需求呈现创新型、工匠型、创业型和能力综合型等多元化的需求趋势。</w:t>
      </w:r>
    </w:p>
    <w:p>
      <w:pPr>
        <w:pStyle w:val="2"/>
        <w:spacing w:line="360" w:lineRule="auto"/>
        <w:ind w:firstLine="420" w:firstLineChars="0"/>
        <w:rPr>
          <w:rFonts w:ascii="仿宋" w:hAnsi="仿宋" w:eastAsia="仿宋"/>
          <w:sz w:val="24"/>
          <w:szCs w:val="24"/>
        </w:rPr>
      </w:pPr>
      <w:r>
        <w:rPr>
          <w:rFonts w:hint="eastAsia" w:ascii="Times New Roman" w:hAnsi="Times New Roman"/>
          <w:sz w:val="24"/>
          <w:szCs w:val="24"/>
        </w:rPr>
        <w:t>（三）学科专业链分析</w:t>
      </w:r>
    </w:p>
    <w:p>
      <w:pPr>
        <w:pStyle w:val="2"/>
        <w:spacing w:line="360" w:lineRule="auto"/>
        <w:ind w:firstLine="480"/>
        <w:rPr>
          <w:rFonts w:ascii="仿宋" w:hAnsi="仿宋" w:eastAsia="仿宋"/>
          <w:sz w:val="24"/>
          <w:szCs w:val="24"/>
        </w:rPr>
      </w:pPr>
      <w:r>
        <w:rPr>
          <w:rFonts w:hint="eastAsia" w:ascii="仿宋" w:hAnsi="仿宋" w:eastAsia="仿宋"/>
          <w:sz w:val="24"/>
          <w:szCs w:val="24"/>
        </w:rPr>
        <w:t>以生物产业链为依托，以服务生物产业链为目的，进而形成的一系列相关学科、专业与产业链之间的相互作用或相互联系，充分促进人才、资本、信息、技术等创新要素融合和活力释放，真正形成了以学科、专业为基本内核的内涵发展模式。积极适应生物产业转型升级和可持续发展，贯彻培养能解决生物领域复杂工程问题，富有创新能力的高素质工程技术人才培养理念，以人员融合、资源对接、利益共享为手段，切实有效提升专业与行业企业在人才培养、知识产出、产品与服务输出的能力，最终达到“专业-产业链”的协同发展。</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生物工程专业秉承产教融合理念，坚持人才培养和产业需求充分对接，依托天津科技大学生物医药现代产业学院“鹤鸣书院”，充分发挥优势，积极推进产教融合、校企合作，促进优质产教资源双向转化，为京津冀区域和生物产业提供各种服务，同时促进专业自身的可持续发展。</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（四）专业定位</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依托“发酵工程”国家级重点学科，始终坚持和拓展轻工特色，立足轻工、服务社会，立足京津冀、面向全国，建设特色优势明显、国内一流的本科专业，培养适应我国生物产业及相关领域发展需求的高素质专业人才。</w:t>
      </w:r>
    </w:p>
    <w:p>
      <w:pPr>
        <w:spacing w:line="360" w:lineRule="auto"/>
        <w:rPr>
          <w:b/>
          <w:bCs/>
          <w:sz w:val="24"/>
        </w:rPr>
      </w:pPr>
      <w:r>
        <w:rPr>
          <w:rFonts w:hint="eastAsia" w:ascii="Times New Roman" w:hAnsi="Times New Roman" w:eastAsia="仿宋_GB2312"/>
          <w:b/>
          <w:bCs/>
          <w:sz w:val="24"/>
        </w:rPr>
        <w:t>五、专业建设发展举措</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（一）专业教学管理制度建设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本专业实行校、院两级管理体制，已初步建立了完整的专业教学管理制度。为进一步加强完善教学管理制度，建立有效支持培养目标实现和毕业要求达成的持续改进机制，依据专业国家标准和工程认证持续改进要求，对专业教学管理制度和文件进行持续建设与修订。建设和修订主要包括产出评价机制核心文件《课程目标达成评价的规定》、《毕业要求达成评价机制》，教学质量监控相关《本科课程考核合理性审核实施细则（试行）》、《本科课程考核形成性评价实施细则》、《本科课程过程化考核合理性审核实施细则》，以及综合性课程管理文件《天津科技大学生物工程学院毕业实习管理办法》、《天津科技大学生物工程学院生产实习实施方案》等。专业本着持续改进的核心理念，建立有效支持培养目标实现和毕业要求达成的持续改进机制，营造了持续改进的教学文化，根据需要不定期对管理制度进行修订和建设以保证我校生物工程专业的活力及可持续发展。院长是学院本科教学第一责任人。分管教学的副院长负责全院教学资源的合理调配、质量标准及相关政策的制定与实施、学风建设等内容。教学秘书协助教学副院长处理日常教学工作，落实学校相关教学文件精神及教学资料的归档等工作。系主任、教研室主任负责组织制定与实施专业培养方案，安排日常教学工作、组织教研活动和教育教学改革等；专业负责人负责本专业课程体系设计和专业建设规划，提升本专业教学质量；实验室管理教师安排日常实验教学工作、组织实验室的改造和维护；教学团队负责课程群建设；各课程主讲教师或实验指导教师负责按照课程大纲要求讲述课程内容、对教学过程管理并科学合理的评价学生，分析总结课程与毕业要求达成之间的关系，实现持续改进。</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（二）教学资源投入</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为保障生物工程专业教学经费的投入和使用，学校出台了《天津科技大学二级学院日常运行教学经费分配办法》，学院出台了《生物工程学院本科生生产实习校外导师费管理办法》，建立了一套管理办法，有效做到：①统筹兼顾，保证重点；②集中核算，分级管理；③严格预算，严格制度；④加强管理，落实责任；⑤强化监督。通过制度监督，确保教学经费足额投入到教学工作中，保证教学经费能够足额充分和高效使用。</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为充分调动老师积极参与教学改革和课程建设积极性，学校出台了《天津科技大学教育教学改革研究项目管理办法》，同时为有效推进此项工作，有针对性对教学的各个环节进行改革。</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针对现有实验面积紧张、人均设备台套数不足、实验教学经费缺口较大等问题，今后将在现有生物工程国家级实验教学示范中心基础上继续从天津市、企业个人捐赠、等多方面争取资源，加强投入，争取每年专业建设经费不少于</w:t>
      </w:r>
      <w:r>
        <w:rPr>
          <w:rFonts w:ascii="仿宋" w:hAnsi="仿宋" w:eastAsia="仿宋"/>
          <w:sz w:val="24"/>
          <w:szCs w:val="24"/>
        </w:rPr>
        <w:t>2</w:t>
      </w:r>
      <w:r>
        <w:rPr>
          <w:rFonts w:hint="eastAsia" w:ascii="仿宋" w:hAnsi="仿宋" w:eastAsia="仿宋"/>
          <w:sz w:val="24"/>
          <w:szCs w:val="24"/>
        </w:rPr>
        <w:t>00万元，实验室面积每年有所增加，以满足国家标准和工程认证标准要求。具体由学院书记、院长、教学副院长及科研副院长牵头分工负责。</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（三）课程体系模式改革</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1.更新培养理念</w:t>
      </w:r>
    </w:p>
    <w:p>
      <w:pPr>
        <w:pStyle w:val="2"/>
        <w:spacing w:line="360" w:lineRule="auto"/>
        <w:ind w:firstLine="420" w:firstLineChars="0"/>
        <w:rPr>
          <w:rFonts w:ascii="Times New Roman" w:hAnsi="Times New Roman" w:eastAsia="仿宋"/>
          <w:sz w:val="24"/>
          <w:szCs w:val="24"/>
        </w:rPr>
      </w:pPr>
      <w:r>
        <w:rPr>
          <w:rFonts w:hint="eastAsia" w:ascii="仿宋" w:hAnsi="仿宋" w:eastAsia="仿宋"/>
          <w:sz w:val="24"/>
          <w:szCs w:val="24"/>
        </w:rPr>
        <w:t>传统工科培养理念是以学科为导向、遵循专业设置按学科划分原则，教育模式倾向于解决确定问题的科学模式，只是结构强调知识体系的系统性和完备性。新工科则呼唤产出导向或成果导向教育</w:t>
      </w:r>
      <w:r>
        <w:rPr>
          <w:rFonts w:ascii="Times New Roman" w:hAnsi="Times New Roman" w:eastAsia="仿宋"/>
          <w:sz w:val="24"/>
          <w:szCs w:val="24"/>
        </w:rPr>
        <w:t>(Outcome based education，简称OBE,</w:t>
      </w:r>
      <w:r>
        <w:rPr>
          <w:rFonts w:hint="eastAsia" w:ascii="仿宋" w:hAnsi="仿宋" w:eastAsia="仿宋"/>
          <w:sz w:val="24"/>
          <w:szCs w:val="24"/>
        </w:rPr>
        <w:t>亦称能力导向教育、目</w:t>
      </w:r>
      <w:r>
        <w:rPr>
          <w:rFonts w:ascii="Times New Roman" w:hAnsi="Times New Roman" w:eastAsia="仿宋"/>
          <w:sz w:val="24"/>
          <w:szCs w:val="24"/>
        </w:rPr>
        <w:t>标导向教育或需求导向教育）教育理念。紧扣生物产业发展对本科专业人才的需求特点，坚持以产出为导向的工程教育的理念，OBE关注四个问题：我们想让学生取得的学习成果是什么；为什么要让学生取得这样的学习成果；如何有效地帮助学生取得这些学习成果；如何知道学生已经取得了这些学习成果，并依次细分教学内容和教学环节关联矩阵，持续改进教学效果。OBE理念由3个下位理念组成，即以学生为中心、反向设计及持续改进。</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在新工科要求下改变原来以教师为中心的教学向学生为中心的教学改变，正确把握教学本质、教学目的和教学原则。参照OBE理念从需求开始进行反向设计，保证教育目标于结果的一致性。采用形成性教学评价，在课程、教学和实习过程中使用系统评价，以改进教学效果。</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2.优化培养目标和素质结构</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参照新工科、国家专业标准等要求，参照OBE人才培养模式对照学生的毕业能力设定具体要求：</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1）拟定专业毕业要求。确定工科专业毕业能力要求，包括工程知识、问题分析、设计/开发解决方案、复杂工程问题研究、使用现代工具、工程与社会影响评价、工程实践与环境和可持续发展理解评估、职业规范、个人和团队角色承担、沟通、项目管理、终身学习。</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（2）确定专业分项能力点。结合生物工程专业专业的实际确定专业毕业要求的各项能力指标点。</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（3）各分项能力对接课程、教学环节。将各分项能力指标点对接现行人才培养计划中的全部课程和教学环节。</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实际执行过程中，要做好五个确定：确定专业毕业要求；确定专业毕业要求中每个要求对应的分指标点；确定支撑各分指标点对应的教学环节；确定各对应教学环节的权重；确定各教学环节课程目标。</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3.优化课程体系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（1）加强基础课程建设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探索基础课程体系优化模式，在现有公共基础必修课的基础上，增加人文、社科等选修课，拓展学生的知识领域和文化视野，全面提升其对产业结构变化、知识结构更新、社会发展的适应能力和发展能力，促进其全面和谐发展。</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（2）推进核心课程和学科交叉课程的建设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根据生物产业的发展和新需求，优化核心课程，注重知识的连贯性、递进性、广博性和专业性，建立与之相适应的核心课程群。根据学科发展前沿和专业特色设置专业选修课和个性化课程；设置跨学科领域、边缘学科领域的课程，实现学科间的交叉渗透。</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（3）优化创新能力培养体系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依托发酵工程国家重点学科、工业酶国家工程实验室和工业微生物教育部重点实验室等教学科研平台，开展多种形式的科研实践教学，培养学生的创新意识。增设“生物技术创新思维与方法学”类课程，使学生全面参与并得到科学系统的训练。加强“学院-学校-天津市-国家”四级创新实验体系中的学院层级创新实验、创新活动以及创新竞赛，将“夜光杯葡萄酒大赛”、“酶好生活”等学院特色创新活动扩大到天津市相关高校，引入企业和产业协会层面评价，在扩大学生参与的覆盖面同时，强化创新与产业技术或者产品开发的对接，以提升创新活动的影响力和教学效果。进一步充分利用拥有的劳动和社会保障部酿酒行业职业技能鉴定站和氨基酸行业职业技能鉴定站资源，加大酿酒、品酒、氨基酸发酵等行业技能培训力度。学生通过系统的行业理论学习和生产实践培训。通过上述课程内外两种递进模式的相互联系、相互促进，全方位加强实践性教学，优化创新能力培养体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课程体系模式改革与培养方案修订同步，按照4年一大改，每年一小改进行，主要由学院教指委成员根据教育部、专业标准、工程认证标准及学校要求进行。</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（四）实践教学体系改革</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进行实践教学体系改革。改革与完善基础实验-专业实验-职业技能-创新实验四个模块组成的点面兼顾的实验教学体系。改革“毕业实习”课程教学模式，以企业生产线实训模式替代企业参观模式的教学方法，提升实践效果。通过有效整合，形成由工程训练培养体系和实验技能培养体系共同构成的有机、系统的实践教学体系。通过课程设计、工程实践和毕业设计等工程训练培养，以及基础实验、专业基础实验、生物工程工艺实验、科研创新实验、毕业论文等环节的实验技能培养。使每个学生都能够得到科学、工程与技术等多方面训练。</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以生物工程国家级实验教学示范中心、工业发酵微生物教育部重点实验室、代谢控制发酵技术国家地方联合工程实验室等教学科研平台及产业学院为依托，继续加强建设，保障建设经费投入，完善功能模块、进一步优化设备配置，涵盖生物工程产业上中下游各个生产环节，保证每个学生都将动手参加某种典型生物产品从原料处理、发酵、分离提取到成品制造的整个生产过程，从而强化其对生物产品生产过程、生产设备、生产工艺等相关知识的认识，提高学生的工程实践意识和实际操作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校外实习实训基地是提高工程实践能力的重要平台，在巩固现有校外实习基地的同时，依托产业学院相关企业进一步拓展实习基地，达到生物产业多领域涵盖。同时依托生物工程学院董事会，以董事会章程的形式确定了各董事单位有接受本专业学生开展认识实习、生产实习及其他相关职业技能培训的义务，从而从制度上保证了校外实习实训基地的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加强已有虚拟仿真实验室建设，进一步增加利用效率，并扩充其应用范围。在此基础上，积极鼓励新虚拟仿真实验室的申请。</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由教学副院长、系主任、教研室主任负责，按照4年一大改每年一小改原则进行实践教学体系改革。</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（五）专业师资队伍建设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1.青年教师培养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学院高度重视教师的发展，对新入职青年教师，一律编入具体教学科研团队，以团队制的形式助推其快速成长。同时，积极支持青年教师参加各类教学会议和比赛，提升教学水平。学院每年定期举办院级青年教师教学基本功大赛，以赛促练，帮助青年教师提高教学基本功。通过科技特派员（近3年达69人次）、企业培训、横向科研项目等形式，深入企业合作，提高青年教师的工程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 国际化教师引进与培养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学院重视国际化高水平师资引进，通过邀请国外学者来校讲座、学术交流及国内教师到国外交流机会，积极与高外高水平教师进行交流，介绍学校人才引进政策，吸引和鼓励国外高水平学者回国任教。此外还每年资助至少2-3名中青年教师赴国外进行一年左右访学交流，支持多名教师短期赴国外交流。通过国外人才引进与本土人才培养两种方式提高师资国际化水平。</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3.教辅队伍建设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实验员、辅导员、教学管理等岗位的教师数量相对偏少，且这些岗位教师存在职业发展路径狭窄、学校招聘编制受限等问题，随着部分教师临近退休年龄，未来存在一定的人力风险。与学校相关部门积极沟通，改进职称评审及招聘引人政策。同时考虑尝试寻求合适的外聘兼职教师，弥补一些岗位教师人手的不足。</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由学院书记、院长负责，力争每年引进教师、教辅人员5名以上。</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（六）教材建设</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积极推进教材建设，坚持以提高质量作为教材建设的核心任务，紧密结合国家和行业对人才的需求，以立足时代、面向未来的视野进行教材建设。结合学科和生物技术的进展，根据培养模式的要求和专业建设的需要，在现有教材体系的基础上，通过聘请专家讲座、立项资助等措施积极鼓励和组织教师参加教材的编写和再版，尤其是涉及到培养学生基本理论和基本技能的主干课程，保证高质量教材进入课堂；邀请企业工程师与教师合作编著实践教学类教材。出版一批理念先进、培养目标精准、引领发展、兼职理论和实践的高质量教材，建成具有鲜明专业特色的教材新体系。由教学副院长、系主任、教研室主任分工负责，力争每年出版再版教材2-3部。</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（七）就业质量和社会声誉提升</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 xml:space="preserve"> </w:t>
      </w:r>
      <w:r>
        <w:rPr>
          <w:rFonts w:hint="eastAsia" w:ascii="仿宋" w:hAnsi="仿宋" w:eastAsia="仿宋"/>
          <w:sz w:val="24"/>
          <w:szCs w:val="24"/>
        </w:rPr>
        <w:t>加强全过程管理，注重前期的就业分类指导和帮扶</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结合学院学生的实际情况，从大四上学期开始，积极与班导师进行合作，对毕业生开展分门别类的指导，以就业去向为标准，强化班导师对毕业生的就业指导和帮扶工作；大四下半学期，加强毕业生的就业推动工作，尤其是加强对就业困难学生的帮扶和指导工作，积极向其推荐就业岗位，帮助其完善就业简历，鼓励其积极参加企业面试，提高就业质量和就业率。</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w:t>
      </w:r>
      <w:r>
        <w:rPr>
          <w:rFonts w:ascii="仿宋" w:hAnsi="仿宋" w:eastAsia="仿宋"/>
          <w:sz w:val="24"/>
          <w:szCs w:val="24"/>
        </w:rPr>
        <w:t xml:space="preserve"> </w:t>
      </w:r>
      <w:r>
        <w:rPr>
          <w:rFonts w:hint="eastAsia" w:ascii="仿宋" w:hAnsi="仿宋" w:eastAsia="仿宋"/>
          <w:sz w:val="24"/>
          <w:szCs w:val="24"/>
        </w:rPr>
        <w:t>挖掘校友资源、加强企业联系，搭建良好就业平台</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充分挖掘校友资源，广泛联络毕业优秀校友，进一步挖掘广大校友资源，为在校学生提供更多有效、高质量的就业岗位。积极动员学院老师推荐企业，通过电话回访、实地考察等方式不断加强与企业的联系，采取“引进来”和“走出去与”的策略，欢迎招聘企业来学院做宣讲，尤其是利用新成立的产业学院企业资源，与企业建立紧密的联系，尝试建立校企合作模式，探索校企实习基地建设，进一步完善学生的就业平台，提高毕业生的实践能力和就业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3.充分利用新媒体，加大就业政策宣传力度和引导力度</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为引导学生认清当前形势，树立正确的就业观念，积极面对就业，学院对有意向就业的同学进行就业政策宣传讲解，为同学详细分析当前就业形势，帮助同学们及早准备，做信息搜集工作，寻找自己理想的工作方向。充分利用学院个人微信平台、QQ群等多种新媒体途径，向毕业生宣传国家和学校的就业创业政策，对于不同就业意向的同学，开展一对一的精准帮扶和指导工作，提高就业的质量和实效性。</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 xml:space="preserve"> </w:t>
      </w:r>
      <w:r>
        <w:rPr>
          <w:rFonts w:hint="eastAsia" w:ascii="仿宋" w:hAnsi="仿宋" w:eastAsia="仿宋"/>
          <w:sz w:val="24"/>
          <w:szCs w:val="24"/>
        </w:rPr>
        <w:t>加强低年级学生职业生涯辅导</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针对部分学生存在就业观念陈旧、就业期望值过高、就业目标模糊和内驱力不足等“慢”就业现象，学院从低年级学生开始，逐步开展就业政策的宣传和指导工作，唤醒学生自主就业创业意识，明确就业目标，积极主动地就业。</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由学院副书记、学生办公室负责，每年对毕业生就业情况进行统计分析，针对不足及时进行持续改进。</w:t>
      </w:r>
    </w:p>
    <w:p>
      <w:pPr>
        <w:pStyle w:val="2"/>
        <w:spacing w:line="360" w:lineRule="auto"/>
        <w:ind w:firstLine="420" w:firstLineChars="0"/>
        <w:rPr>
          <w:rFonts w:ascii="Times New Roman" w:hAnsi="Times New Roman"/>
          <w:sz w:val="24"/>
          <w:szCs w:val="24"/>
        </w:rPr>
      </w:pPr>
      <w:r>
        <w:rPr>
          <w:rFonts w:hint="eastAsia" w:ascii="Times New Roman" w:hAnsi="Times New Roman"/>
          <w:sz w:val="24"/>
          <w:szCs w:val="24"/>
        </w:rPr>
        <w:t>（八）加强国际化培养</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世界局势处于大转型、大变革的关口，生物工程领域的人才培养必须以面向未来和领跑世界为目标追求，专业将通过“请进来、走出去”的双向教育国际化探索，切实提升教育教学国际化水平。</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1积极筹措经费</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将国际交流列入预算，加强中外学生的统筹管理，增加国内外学生学习交流和互访的数量，以培养具有国际视野的高水平创新人才。</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2营造国际化教育校园氛围</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加强专业的对外宣传力度，包括对专业特色、核心课程、优秀专家学者的相关宣传；完善中外文版式的各级网站、文件资料；积极邀请海外专家开展学术讲座，拓宽师生的国际视野；积极建设双语、外语授课课程，引进国外先进教材，培养学生的国际交往能力。</w:t>
      </w:r>
    </w:p>
    <w:p>
      <w:pPr>
        <w:pStyle w:val="2"/>
        <w:spacing w:line="360" w:lineRule="auto"/>
        <w:ind w:firstLine="420" w:firstLineChars="0"/>
        <w:rPr>
          <w:rFonts w:ascii="仿宋" w:hAnsi="仿宋" w:eastAsia="仿宋"/>
          <w:sz w:val="24"/>
          <w:szCs w:val="24"/>
        </w:rPr>
      </w:pPr>
      <w:r>
        <w:rPr>
          <w:rFonts w:hint="eastAsia" w:ascii="仿宋" w:hAnsi="仿宋" w:eastAsia="仿宋"/>
          <w:sz w:val="24"/>
          <w:szCs w:val="24"/>
        </w:rPr>
        <w:t>3拓展国际交流渠道</w:t>
      </w:r>
    </w:p>
    <w:p>
      <w:pPr>
        <w:pStyle w:val="2"/>
        <w:spacing w:line="360" w:lineRule="auto"/>
        <w:ind w:firstLine="420" w:firstLineChars="0"/>
        <w:rPr>
          <w:rFonts w:ascii="Times New Roman" w:hAnsi="Times New Roman" w:eastAsia="仿宋"/>
          <w:sz w:val="24"/>
          <w:szCs w:val="24"/>
        </w:rPr>
      </w:pPr>
      <w:r>
        <w:rPr>
          <w:rFonts w:ascii="Times New Roman" w:hAnsi="Times New Roman" w:eastAsia="仿宋"/>
          <w:sz w:val="24"/>
          <w:szCs w:val="24"/>
        </w:rPr>
        <w:t>在前期英国赫瑞瓦特大学合作开办生物工程（酿造与蒸馏）专业、英国布拉德福德大学启动了英中大学生合作创业项目、泰国易三仓大学建立了生物工程专业的交流常态化和Biological Engineering本科留学生专业基础上继续拓展学生国际交流活动渠道，增加中外校际学术与文化交流项目，为学生的国际化学习和体验创造更多的机会；支持学生参加国际学术会议、国际学科竞赛、国际夏（冬）令营等国际交流活动；积极举办国际学术会议，增长学生的国际交流经验和能力。此外引进国外优质教育资源，聘请高水平的海外教师、专家学者来校进行学术交流、科研合作。</w:t>
      </w:r>
    </w:p>
    <w:p>
      <w:pPr>
        <w:pStyle w:val="2"/>
        <w:spacing w:line="360" w:lineRule="auto"/>
        <w:ind w:firstLine="420" w:firstLineChars="0"/>
        <w:rPr>
          <w:rFonts w:ascii="Times New Roman" w:hAnsi="Times New Roman" w:eastAsia="仿宋"/>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posOffset>2603500</wp:posOffset>
              </wp:positionH>
              <wp:positionV relativeFrom="paragraph">
                <wp:posOffset>2540</wp:posOffset>
              </wp:positionV>
              <wp:extent cx="158750" cy="1828800"/>
              <wp:effectExtent l="0" t="0" r="12700" b="6350"/>
              <wp:wrapNone/>
              <wp:docPr id="1" name="文本框 1"/>
              <wp:cNvGraphicFramePr/>
              <a:graphic xmlns:a="http://schemas.openxmlformats.org/drawingml/2006/main">
                <a:graphicData uri="http://schemas.microsoft.com/office/word/2010/wordprocessingShape">
                  <wps:wsp>
                    <wps:cNvSpPr txBox="1"/>
                    <wps:spPr>
                      <a:xfrm>
                        <a:off x="0" y="0"/>
                        <a:ext cx="1587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pt;margin-top:0.2pt;height:144pt;width:12.5pt;mso-position-horizontal-relative:margin;z-index:251659264;mso-width-relative:page;mso-height-relative:page;" filled="f" stroked="f" coordsize="21600,21600" o:gfxdata="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KC8e+1gAAAAgBAAAPAAAAAAAAAAEAIAAAACIAAABkcnMvZG93bnJldi54bWxQSwEC&#10;FAAUAAAACACHTuJATj+KZC8CAABWBAAADgAAAAAAAAABACAAAAAlAQAAZHJzL2Uyb0RvYy54bWxQ&#10;SwUGAAAAAAYABgBZAQAAxg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iNmVhNzYyMzU5NDY2YTE4NjFlZjE0MDI5MDE4NTcifQ=="/>
  </w:docVars>
  <w:rsids>
    <w:rsidRoot w:val="1905659E"/>
    <w:rsid w:val="000015A2"/>
    <w:rsid w:val="0008626F"/>
    <w:rsid w:val="000B66F5"/>
    <w:rsid w:val="000F6630"/>
    <w:rsid w:val="001959F6"/>
    <w:rsid w:val="00206E36"/>
    <w:rsid w:val="0022379B"/>
    <w:rsid w:val="00244DE1"/>
    <w:rsid w:val="00345706"/>
    <w:rsid w:val="00351857"/>
    <w:rsid w:val="003A604E"/>
    <w:rsid w:val="0041536B"/>
    <w:rsid w:val="00421700"/>
    <w:rsid w:val="00467DF9"/>
    <w:rsid w:val="00483747"/>
    <w:rsid w:val="005D6906"/>
    <w:rsid w:val="005F2D57"/>
    <w:rsid w:val="00605622"/>
    <w:rsid w:val="00635AA8"/>
    <w:rsid w:val="00650AD4"/>
    <w:rsid w:val="00667FE9"/>
    <w:rsid w:val="00671B88"/>
    <w:rsid w:val="00692DD6"/>
    <w:rsid w:val="006951C8"/>
    <w:rsid w:val="006E0DFE"/>
    <w:rsid w:val="0071346B"/>
    <w:rsid w:val="007555E4"/>
    <w:rsid w:val="007A4FA5"/>
    <w:rsid w:val="008A09EE"/>
    <w:rsid w:val="00924AE5"/>
    <w:rsid w:val="00930780"/>
    <w:rsid w:val="0093095E"/>
    <w:rsid w:val="00951F6A"/>
    <w:rsid w:val="00953F65"/>
    <w:rsid w:val="00971179"/>
    <w:rsid w:val="009B3AC8"/>
    <w:rsid w:val="009F4D59"/>
    <w:rsid w:val="00A06D1F"/>
    <w:rsid w:val="00A452B9"/>
    <w:rsid w:val="00AA3401"/>
    <w:rsid w:val="00AA6421"/>
    <w:rsid w:val="00AE7CE8"/>
    <w:rsid w:val="00C07F34"/>
    <w:rsid w:val="00CA1376"/>
    <w:rsid w:val="00CD3A43"/>
    <w:rsid w:val="00D1399A"/>
    <w:rsid w:val="00D17D2F"/>
    <w:rsid w:val="00D8664B"/>
    <w:rsid w:val="00DB3AEF"/>
    <w:rsid w:val="00E168FE"/>
    <w:rsid w:val="00E233EA"/>
    <w:rsid w:val="00E843E7"/>
    <w:rsid w:val="00EA0824"/>
    <w:rsid w:val="00EF064E"/>
    <w:rsid w:val="00F22CB1"/>
    <w:rsid w:val="00F24F2C"/>
    <w:rsid w:val="00F45F98"/>
    <w:rsid w:val="00F7361B"/>
    <w:rsid w:val="00FC7973"/>
    <w:rsid w:val="01AF7DBD"/>
    <w:rsid w:val="02EF50E6"/>
    <w:rsid w:val="03CA4B0F"/>
    <w:rsid w:val="08CE56E4"/>
    <w:rsid w:val="0FC23546"/>
    <w:rsid w:val="11CD6DDD"/>
    <w:rsid w:val="1598234A"/>
    <w:rsid w:val="15D91A84"/>
    <w:rsid w:val="1905659E"/>
    <w:rsid w:val="1AC765D0"/>
    <w:rsid w:val="1DA86417"/>
    <w:rsid w:val="285E661A"/>
    <w:rsid w:val="38FD54F2"/>
    <w:rsid w:val="39395380"/>
    <w:rsid w:val="42C46C31"/>
    <w:rsid w:val="44E40258"/>
    <w:rsid w:val="45696974"/>
    <w:rsid w:val="4AD23C9C"/>
    <w:rsid w:val="543C0C79"/>
    <w:rsid w:val="569F50AB"/>
    <w:rsid w:val="5D1A5529"/>
    <w:rsid w:val="5D8F72E6"/>
    <w:rsid w:val="6C6770F0"/>
    <w:rsid w:val="70812DB8"/>
    <w:rsid w:val="7DE61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customStyle="1" w:styleId="2">
    <w:name w:val="新正文"/>
    <w:basedOn w:val="3"/>
    <w:qFormat/>
    <w:uiPriority w:val="0"/>
    <w:pPr>
      <w:ind w:firstLine="200" w:firstLineChars="200"/>
    </w:pPr>
    <w:rPr>
      <w:rFonts w:ascii="仿宋_GB2312" w:eastAsia="仿宋_GB2312"/>
      <w:sz w:val="32"/>
    </w:rPr>
  </w:style>
  <w:style w:type="paragraph" w:styleId="3">
    <w:name w:val="Plain Text"/>
    <w:basedOn w:val="1"/>
    <w:qFormat/>
    <w:uiPriority w:val="0"/>
    <w:rPr>
      <w:rFonts w:ascii="宋体" w:hAnsi="Courier New"/>
      <w:szCs w:val="20"/>
    </w:rPr>
  </w:style>
  <w:style w:type="paragraph" w:styleId="4">
    <w:name w:val="annotation text"/>
    <w:basedOn w:val="1"/>
    <w:link w:val="15"/>
    <w:uiPriority w:val="0"/>
    <w:pPr>
      <w:jc w:val="left"/>
    </w:pPr>
  </w:style>
  <w:style w:type="paragraph" w:styleId="5">
    <w:name w:val="Balloon Text"/>
    <w:basedOn w:val="1"/>
    <w:link w:val="17"/>
    <w:semiHidden/>
    <w:unhideWhenUsed/>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annotation subject"/>
    <w:basedOn w:val="4"/>
    <w:next w:val="4"/>
    <w:link w:val="16"/>
    <w:semiHidden/>
    <w:unhideWhenUsed/>
    <w:uiPriority w:val="0"/>
    <w:rPr>
      <w:b/>
      <w:bCs/>
    </w:rPr>
  </w:style>
  <w:style w:type="table" w:styleId="10">
    <w:name w:val="Table Grid"/>
    <w:basedOn w:val="9"/>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character" w:styleId="13">
    <w:name w:val="annotation reference"/>
    <w:basedOn w:val="11"/>
    <w:uiPriority w:val="0"/>
    <w:rPr>
      <w:sz w:val="21"/>
      <w:szCs w:val="21"/>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15">
    <w:name w:val="Comment Text Char"/>
    <w:basedOn w:val="11"/>
    <w:link w:val="4"/>
    <w:uiPriority w:val="0"/>
    <w:rPr>
      <w:rFonts w:ascii="Calibri" w:hAnsi="Calibri" w:eastAsia="宋体" w:cs="Times New Roman"/>
      <w:kern w:val="2"/>
      <w:sz w:val="21"/>
      <w:szCs w:val="24"/>
    </w:rPr>
  </w:style>
  <w:style w:type="character" w:customStyle="1" w:styleId="16">
    <w:name w:val="Comment Subject Char"/>
    <w:basedOn w:val="15"/>
    <w:link w:val="8"/>
    <w:semiHidden/>
    <w:uiPriority w:val="0"/>
    <w:rPr>
      <w:rFonts w:ascii="Calibri" w:hAnsi="Calibri" w:eastAsia="宋体" w:cs="Times New Roman"/>
      <w:b/>
      <w:bCs/>
      <w:kern w:val="2"/>
      <w:sz w:val="21"/>
      <w:szCs w:val="24"/>
    </w:rPr>
  </w:style>
  <w:style w:type="character" w:customStyle="1" w:styleId="17">
    <w:name w:val="Balloon Text Char"/>
    <w:basedOn w:val="11"/>
    <w:link w:val="5"/>
    <w:semiHidden/>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1624</Words>
  <Characters>9259</Characters>
  <Lines>77</Lines>
  <Paragraphs>21</Paragraphs>
  <TotalTime>71</TotalTime>
  <ScaleCrop>false</ScaleCrop>
  <LinksUpToDate>false</LinksUpToDate>
  <CharactersWithSpaces>10862</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2022-01-28T07:16:00Z</dcterms:created>
  <dc:creator>AQIULL</dc:creator>
  <cp:lastModifiedBy>媛</cp:lastModifiedBy>
  <dcterms:modified xsi:type="dcterms:W3CDTF">2023-07-17T03:08:54Z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64557F0A80EA49F0A77C8C8784226152</vt:lpwstr>
  </property>
</Properties>
</file>