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仿宋_GB2312"/>
          <w:b/>
          <w:bCs/>
          <w:sz w:val="32"/>
          <w:szCs w:val="32"/>
        </w:rPr>
      </w:pPr>
      <w:r>
        <w:rPr>
          <w:rFonts w:ascii="Times New Roman" w:hAnsi="Times New Roman" w:eastAsia="仿宋_GB2312"/>
          <w:b/>
          <w:bCs/>
          <w:sz w:val="32"/>
          <w:szCs w:val="32"/>
        </w:rPr>
        <w:t>生物工程学院制药工程专业建设方案（2022-2025年）</w:t>
      </w:r>
    </w:p>
    <w:p>
      <w:pPr>
        <w:pStyle w:val="15"/>
        <w:numPr>
          <w:ilvl w:val="0"/>
          <w:numId w:val="1"/>
        </w:numPr>
        <w:spacing w:line="360" w:lineRule="auto"/>
        <w:ind w:firstLineChars="0"/>
        <w:rPr>
          <w:rFonts w:ascii="Times New Roman" w:hAnsi="Times New Roman" w:eastAsia="仿宋_GB2312"/>
          <w:color w:val="FF0000"/>
          <w:sz w:val="24"/>
        </w:rPr>
      </w:pPr>
      <w:r>
        <w:rPr>
          <w:rFonts w:ascii="Times New Roman" w:hAnsi="Times New Roman" w:eastAsia="仿宋_GB2312"/>
          <w:b/>
          <w:bCs/>
          <w:sz w:val="24"/>
        </w:rPr>
        <w:t>专业概况</w:t>
      </w:r>
    </w:p>
    <w:p>
      <w:pPr>
        <w:spacing w:line="360" w:lineRule="auto"/>
        <w:rPr>
          <w:rFonts w:ascii="Times New Roman" w:hAnsi="Times New Roman" w:eastAsia="仿宋_GB2312"/>
          <w:sz w:val="24"/>
        </w:rPr>
      </w:pPr>
      <w:r>
        <w:rPr>
          <w:rFonts w:ascii="Times New Roman" w:hAnsi="Times New Roman" w:eastAsia="仿宋_GB2312"/>
          <w:sz w:val="24"/>
        </w:rPr>
        <w:t>（一）基本条件</w:t>
      </w:r>
    </w:p>
    <w:p>
      <w:pPr>
        <w:spacing w:line="360" w:lineRule="auto"/>
        <w:rPr>
          <w:rFonts w:ascii="Times New Roman" w:hAnsi="Times New Roman" w:eastAsia="仿宋"/>
          <w:sz w:val="24"/>
        </w:rPr>
      </w:pPr>
      <w:r>
        <w:rPr>
          <w:rFonts w:ascii="Times New Roman" w:hAnsi="Times New Roman" w:eastAsia="仿宋_GB2312"/>
          <w:color w:val="FF0000"/>
          <w:sz w:val="24"/>
        </w:rPr>
        <w:t xml:space="preserve">    </w:t>
      </w:r>
      <w:r>
        <w:rPr>
          <w:rFonts w:ascii="Times New Roman" w:hAnsi="Times New Roman" w:eastAsia="仿宋"/>
          <w:sz w:val="24"/>
        </w:rPr>
        <w:t>制药工程是一种将药物量产化的工程技术，是一个化学、药学（中药学）和工程学交叉的工科类专业，以培养从事药品制造，新工艺、新设备、新品种的开发、放大和设计人才为目标。</w:t>
      </w:r>
    </w:p>
    <w:p>
      <w:pPr>
        <w:spacing w:line="360" w:lineRule="auto"/>
        <w:ind w:firstLine="480" w:firstLineChars="200"/>
        <w:rPr>
          <w:rFonts w:ascii="Times New Roman" w:hAnsi="Times New Roman" w:eastAsia="仿宋"/>
          <w:sz w:val="24"/>
        </w:rPr>
      </w:pPr>
      <w:r>
        <w:rPr>
          <w:rFonts w:ascii="Times New Roman" w:hAnsi="Times New Roman" w:eastAsia="仿宋"/>
          <w:sz w:val="24"/>
        </w:rPr>
        <w:t>生物工程学院制药工程专业，根据学校“立足轻工、服务社会，立足京津冀、面向全国”的办学定位及人才培养目标，结合国家经济与科技发展的需求，依托“轻工技术与工程”“发酵工程”等优势学科，培养制药工程领域德、智、体、美、劳全面发展的社会主义事业合格建设者和可靠接班人。培养具有制药工程专业知识、具备从事药品及其它相关产品的技术开发、工程设计和产品质量管理等方面的能力，能在制药及其相关领域的生产企业等从事产品开发、工程设计、生产技术与质量管理、科学研究与科技服务等方面工作的高素质应用型工程技术人才。</w:t>
      </w:r>
    </w:p>
    <w:p>
      <w:pPr>
        <w:spacing w:line="360" w:lineRule="auto"/>
        <w:ind w:firstLine="480" w:firstLineChars="200"/>
        <w:rPr>
          <w:rFonts w:ascii="Times New Roman" w:hAnsi="Times New Roman" w:eastAsia="仿宋"/>
          <w:sz w:val="24"/>
        </w:rPr>
      </w:pPr>
      <w:r>
        <w:rPr>
          <w:rFonts w:ascii="Times New Roman" w:hAnsi="Times New Roman" w:eastAsia="仿宋"/>
          <w:sz w:val="24"/>
        </w:rPr>
        <w:t>天津科技大学制药工程专业成立于2000年，现为国家一流专业建设点和天津市一流专业建设点</w:t>
      </w:r>
      <w:r>
        <w:rPr>
          <w:rFonts w:ascii="Times New Roman" w:hAnsi="Times New Roman" w:eastAsia="仿宋"/>
          <w:color w:val="646464"/>
          <w:sz w:val="24"/>
          <w:shd w:val="clear" w:color="auto" w:fill="FFFFFF"/>
        </w:rPr>
        <w:t>。</w:t>
      </w:r>
      <w:r>
        <w:rPr>
          <w:rFonts w:ascii="Times New Roman" w:hAnsi="Times New Roman" w:eastAsia="仿宋"/>
          <w:sz w:val="24"/>
        </w:rPr>
        <w:t>所在学院</w:t>
      </w:r>
      <w:r>
        <w:rPr>
          <w:rFonts w:hint="eastAsia" w:ascii="Times New Roman" w:hAnsi="Times New Roman" w:eastAsia="仿宋"/>
          <w:sz w:val="24"/>
        </w:rPr>
        <w:t>设有轻工技术与工程一级学科博士点及博士后流动站、生物与医药专业学位博士点、生物工程、药学一级学科硕士点等。其中“发酵工程”是国家重点学科，轻工技术与工程、药学是天津市一流学科、重点学科</w:t>
      </w:r>
      <w:r>
        <w:rPr>
          <w:rFonts w:ascii="Times New Roman" w:hAnsi="Times New Roman" w:eastAsia="仿宋"/>
          <w:sz w:val="24"/>
        </w:rPr>
        <w:t>。</w:t>
      </w:r>
    </w:p>
    <w:p>
      <w:pPr>
        <w:spacing w:line="360" w:lineRule="auto"/>
        <w:ind w:firstLine="480" w:firstLineChars="200"/>
        <w:rPr>
          <w:rFonts w:ascii="Times New Roman" w:hAnsi="Times New Roman" w:eastAsia="仿宋"/>
          <w:sz w:val="24"/>
        </w:rPr>
      </w:pPr>
      <w:r>
        <w:rPr>
          <w:rFonts w:ascii="Times New Roman" w:hAnsi="Times New Roman" w:eastAsia="仿宋"/>
          <w:snapToGrid w:val="0"/>
          <w:kern w:val="0"/>
          <w:sz w:val="24"/>
        </w:rPr>
        <w:t>生物工程学院拥有十四个国家级、省部级科研平台，包括生物工程国家级实验教学示范中心、省部共建食品营养与健康国家重点实验室、代谢控制发酵技术国家地方联合工程实验室、</w:t>
      </w:r>
      <w:r>
        <w:rPr>
          <w:rFonts w:ascii="Times New Roman" w:hAnsi="Times New Roman" w:eastAsia="仿宋"/>
          <w:sz w:val="24"/>
        </w:rPr>
        <w:t>工业酶国家工程实验室（组建单位）、</w:t>
      </w:r>
      <w:r>
        <w:rPr>
          <w:rFonts w:ascii="Times New Roman" w:hAnsi="Times New Roman" w:eastAsia="仿宋"/>
          <w:snapToGrid w:val="0"/>
          <w:kern w:val="0"/>
          <w:sz w:val="24"/>
        </w:rPr>
        <w:t>工业发酵微生物教育部重点实验室、教育部食品生物技术工程研究中心、天津市工业微生物重点实验室、天津市微生物代谢与控制技术工程中心、天津市氨基酸高效绿色制造工程实验室</w:t>
      </w:r>
      <w:r>
        <w:rPr>
          <w:rFonts w:ascii="Times New Roman" w:hAnsi="Times New Roman" w:eastAsia="仿宋"/>
          <w:snapToGrid w:val="0"/>
          <w:sz w:val="24"/>
        </w:rPr>
        <w:t>、</w:t>
      </w:r>
      <w:r>
        <w:rPr>
          <w:rFonts w:ascii="Times New Roman" w:hAnsi="Times New Roman" w:eastAsia="仿宋"/>
          <w:snapToGrid w:val="0"/>
          <w:kern w:val="0"/>
          <w:sz w:val="24"/>
        </w:rPr>
        <w:t>天津轻工清洁技术与工程协同创新中心、天津市发酵工程行业技术中心、科技部工业微生物菌种资源标准化整理及国家自然科技资源共享平台、劳动和社会保障部酿酒行业职业技能鉴定站和</w:t>
      </w:r>
      <w:bookmarkStart w:id="0" w:name="OLE_LINK5"/>
      <w:bookmarkStart w:id="1" w:name="OLE_LINK4"/>
      <w:bookmarkStart w:id="2" w:name="OLE_LINK6"/>
      <w:r>
        <w:rPr>
          <w:rFonts w:ascii="Times New Roman" w:hAnsi="Times New Roman" w:eastAsia="仿宋"/>
          <w:snapToGrid w:val="0"/>
          <w:kern w:val="0"/>
          <w:sz w:val="24"/>
        </w:rPr>
        <w:t>氨基酸行业职业技能鉴定站</w:t>
      </w:r>
      <w:bookmarkEnd w:id="0"/>
      <w:bookmarkEnd w:id="1"/>
      <w:bookmarkEnd w:id="2"/>
      <w:r>
        <w:rPr>
          <w:rFonts w:ascii="Times New Roman" w:hAnsi="Times New Roman" w:eastAsia="仿宋"/>
          <w:snapToGrid w:val="0"/>
          <w:kern w:val="0"/>
          <w:sz w:val="24"/>
        </w:rPr>
        <w:t>等。</w:t>
      </w:r>
    </w:p>
    <w:p>
      <w:pPr>
        <w:spacing w:line="360" w:lineRule="auto"/>
        <w:ind w:firstLine="480" w:firstLineChars="200"/>
        <w:rPr>
          <w:rFonts w:ascii="Times New Roman" w:hAnsi="Times New Roman" w:eastAsia="仿宋"/>
          <w:snapToGrid w:val="0"/>
          <w:kern w:val="0"/>
          <w:sz w:val="24"/>
        </w:rPr>
      </w:pPr>
      <w:r>
        <w:rPr>
          <w:rFonts w:ascii="Times New Roman" w:hAnsi="Times New Roman" w:eastAsia="仿宋"/>
          <w:snapToGrid w:val="0"/>
          <w:kern w:val="0"/>
          <w:sz w:val="24"/>
        </w:rPr>
        <w:t>强劲的学科优势为专业建设和教学水平的提高奠定了坚实的基础。20多年来，本专业共培养本科生1千多人，其中大多数已成为国内外制药和生物医药行业的栋梁之材，很多毕业生已成为恒瑞、天士力、罗氏、康希诺等国内外著名药企骨干，参与了新冠疫苗等重大战略药品研发生产，或进入清华、北大、中科院、普渡大学等国内外高水平高校或科研院所继续深造，受到所在单位一致好评。</w:t>
      </w:r>
    </w:p>
    <w:p>
      <w:pPr>
        <w:spacing w:line="360" w:lineRule="auto"/>
        <w:ind w:firstLine="480" w:firstLineChars="200"/>
        <w:rPr>
          <w:rFonts w:ascii="Times New Roman" w:hAnsi="Times New Roman" w:eastAsia="仿宋"/>
          <w:snapToGrid w:val="0"/>
          <w:kern w:val="0"/>
          <w:sz w:val="24"/>
        </w:rPr>
      </w:pPr>
      <w:r>
        <w:rPr>
          <w:rFonts w:ascii="Times New Roman" w:hAnsi="Times New Roman" w:eastAsia="仿宋"/>
          <w:snapToGrid w:val="0"/>
          <w:kern w:val="0"/>
          <w:sz w:val="24"/>
        </w:rPr>
        <w:t>制药工程专业对于国际化拓展非常重视，与英国布拉德福德大学药学院有着密切的学术交流，双方教师定期召开会议，在学生联合培养、中英联合创新创业中心共建、科研对接等方面达成意向。</w:t>
      </w:r>
    </w:p>
    <w:p>
      <w:pPr>
        <w:pStyle w:val="2"/>
        <w:spacing w:line="360" w:lineRule="auto"/>
        <w:ind w:firstLine="480"/>
        <w:rPr>
          <w:rFonts w:ascii="Times New Roman" w:hAnsi="Times New Roman" w:eastAsia="仿宋"/>
          <w:snapToGrid w:val="0"/>
          <w:kern w:val="0"/>
          <w:sz w:val="24"/>
          <w:szCs w:val="24"/>
        </w:rPr>
      </w:pPr>
      <w:r>
        <w:rPr>
          <w:rFonts w:ascii="Times New Roman" w:hAnsi="Times New Roman" w:eastAsia="仿宋"/>
          <w:snapToGrid w:val="0"/>
          <w:kern w:val="0"/>
          <w:sz w:val="24"/>
          <w:szCs w:val="24"/>
        </w:rPr>
        <w:t>制药工程专业在产学研合作上有着深厚基础和长远规划。依托制药工程专业特色和学科优势，落实教育部、工信部印发《现代产业学院建设指南（试行）、《教育部高等教育司关于开展首批现代产业学院申报与建设工作的通知》等文件精神，生物工程学院与生物医药产业五家头部企业---康希诺生物股份公司、天津瑞普生物技术股份有限公司、华熙生物科技(天津)有限公司、天津药物研究院有限公司、丹娜（天津）生物科技股份有限公司共同成立“生物医药现代产业学院”，围绕天津市1+3+4产业结构布局，和滨城“生物医药”重点产业规划，着力推进新工科建设，建立高校与地方政府、行业企业等多主体，共建、共管、共享的价值发展共同体，现代产业学院中同时并行“鹤鸣书院”，以学院制、书院制并行的管理模式，践行“立德树人”根本宗旨，培养具有扎实专业基础、丰富产业经验、深厚人文底蕴的适应新的生产力水平发展需求的现代生物医药产业人才。</w:t>
      </w:r>
    </w:p>
    <w:p>
      <w:pPr>
        <w:adjustRightInd w:val="0"/>
        <w:snapToGrid w:val="0"/>
        <w:spacing w:line="360" w:lineRule="auto"/>
        <w:ind w:firstLine="480" w:firstLineChars="200"/>
        <w:rPr>
          <w:rFonts w:ascii="Times New Roman" w:hAnsi="Times New Roman" w:eastAsia="仿宋"/>
          <w:sz w:val="24"/>
        </w:rPr>
      </w:pPr>
      <w:r>
        <w:rPr>
          <w:rFonts w:ascii="Times New Roman" w:hAnsi="Times New Roman" w:eastAsia="仿宋"/>
          <w:sz w:val="24"/>
        </w:rPr>
        <w:t>“十三五”期间，生物工程学院获得“</w:t>
      </w:r>
      <w:r>
        <w:rPr>
          <w:rFonts w:ascii="Times New Roman" w:hAnsi="Times New Roman" w:eastAsia="仿宋"/>
          <w:snapToGrid w:val="0"/>
          <w:kern w:val="0"/>
          <w:sz w:val="24"/>
        </w:rPr>
        <w:t>十三五”生物发酵行业科技创新先进集体、标准工作先进集体</w:t>
      </w:r>
      <w:r>
        <w:rPr>
          <w:rFonts w:ascii="Times New Roman" w:hAnsi="Times New Roman" w:eastAsia="仿宋"/>
          <w:sz w:val="24"/>
        </w:rPr>
        <w:t>”；获得天津市工程专业学位优秀教学成果奖一等奖1项；教改项目</w:t>
      </w:r>
      <w:r>
        <w:rPr>
          <w:rFonts w:hint="eastAsia" w:ascii="Times New Roman" w:hAnsi="Times New Roman" w:eastAsia="仿宋"/>
          <w:sz w:val="24"/>
          <w:lang w:eastAsia="zh-CN"/>
        </w:rPr>
        <w:t>《</w:t>
      </w:r>
      <w:r>
        <w:rPr>
          <w:rFonts w:hint="eastAsia" w:ascii="Times New Roman" w:hAnsi="Times New Roman" w:eastAsia="仿宋"/>
          <w:sz w:val="24"/>
        </w:rPr>
        <w:t>国际工程教育引领下，以产科教融合创新面向生物产业的本科人才培养体系</w:t>
      </w:r>
      <w:r>
        <w:rPr>
          <w:rFonts w:ascii="Times New Roman" w:hAnsi="Times New Roman" w:eastAsia="仿宋"/>
          <w:sz w:val="24"/>
        </w:rPr>
        <w:t>《面向轻工行业的生物工程创新型卓越工程人才培养的探索与实践》获批天津市教学成果奖培</w:t>
      </w:r>
      <w:r>
        <w:rPr>
          <w:rFonts w:ascii="Times New Roman" w:hAnsi="Times New Roman" w:eastAsia="仿宋"/>
          <w:sz w:val="24"/>
          <w:highlight w:val="none"/>
        </w:rPr>
        <w:t>育项目、</w:t>
      </w:r>
      <w:r>
        <w:rPr>
          <w:rFonts w:hint="eastAsia" w:ascii="Times New Roman" w:hAnsi="Times New Roman" w:eastAsia="仿宋"/>
          <w:sz w:val="24"/>
          <w:highlight w:val="none"/>
          <w:lang w:eastAsia="zh-CN"/>
        </w:rPr>
        <w:t>《国际工程教育引领下，以产科教融合创新面向生物产业的本科人才培养体系》</w:t>
      </w:r>
      <w:r>
        <w:rPr>
          <w:rFonts w:hint="eastAsia" w:ascii="Times New Roman" w:hAnsi="Times New Roman" w:eastAsia="仿宋"/>
          <w:sz w:val="24"/>
          <w:highlight w:val="none"/>
          <w:lang w:val="en-US" w:eastAsia="zh-CN"/>
        </w:rPr>
        <w:t>荣获</w:t>
      </w:r>
      <w:r>
        <w:rPr>
          <w:rFonts w:ascii="Times New Roman" w:hAnsi="Times New Roman" w:eastAsia="仿宋"/>
          <w:sz w:val="24"/>
          <w:highlight w:val="none"/>
        </w:rPr>
        <w:t>天津市教学成果奖</w:t>
      </w:r>
      <w:r>
        <w:rPr>
          <w:rFonts w:hint="eastAsia" w:ascii="Times New Roman" w:hAnsi="Times New Roman" w:eastAsia="仿宋"/>
          <w:sz w:val="24"/>
          <w:highlight w:val="none"/>
          <w:lang w:val="en-US" w:eastAsia="zh-CN"/>
        </w:rPr>
        <w:t>特</w:t>
      </w:r>
      <w:r>
        <w:rPr>
          <w:rFonts w:ascii="Times New Roman" w:hAnsi="Times New Roman" w:eastAsia="仿宋"/>
          <w:sz w:val="24"/>
          <w:highlight w:val="none"/>
        </w:rPr>
        <w:t>等奖；各类省部级教改项目5项，校级教改项目2项。</w:t>
      </w:r>
    </w:p>
    <w:p>
      <w:pPr>
        <w:pStyle w:val="2"/>
        <w:spacing w:line="360" w:lineRule="auto"/>
        <w:ind w:firstLine="480"/>
        <w:rPr>
          <w:rFonts w:ascii="Times New Roman" w:hAnsi="Times New Roman" w:eastAsia="仿宋"/>
          <w:sz w:val="24"/>
          <w:szCs w:val="24"/>
        </w:rPr>
      </w:pPr>
      <w:r>
        <w:rPr>
          <w:rFonts w:ascii="Times New Roman" w:hAnsi="Times New Roman" w:eastAsia="仿宋"/>
          <w:sz w:val="24"/>
          <w:szCs w:val="24"/>
        </w:rPr>
        <w:t>生物工程</w:t>
      </w:r>
      <w:r>
        <w:rPr>
          <w:rFonts w:hint="eastAsia" w:ascii="Times New Roman" w:hAnsi="Times New Roman" w:eastAsia="仿宋"/>
          <w:sz w:val="24"/>
          <w:szCs w:val="24"/>
        </w:rPr>
        <w:t>学院</w:t>
      </w:r>
      <w:r>
        <w:rPr>
          <w:rFonts w:ascii="Times New Roman" w:hAnsi="Times New Roman" w:eastAsia="仿宋"/>
          <w:sz w:val="24"/>
          <w:szCs w:val="24"/>
        </w:rPr>
        <w:t>教师主编或参编代表性教材28本，其中2本教材分别获得 “中国轻工业优秀教材”一、二等奖，5本教材入选中国轻工业“十三五”规划教材；建设国家级精品课程、一流课程4门，国家级教学团队1支，其中</w:t>
      </w:r>
      <w:r>
        <w:rPr>
          <w:rFonts w:ascii="Times New Roman" w:hAnsi="Times New Roman" w:eastAsia="仿宋"/>
          <w:snapToGrid w:val="0"/>
          <w:kern w:val="0"/>
          <w:sz w:val="24"/>
          <w:szCs w:val="24"/>
        </w:rPr>
        <w:t>《微生物学》入选第一批国家一流课程；建设</w:t>
      </w:r>
      <w:r>
        <w:rPr>
          <w:rFonts w:ascii="Times New Roman" w:hAnsi="Times New Roman" w:eastAsia="仿宋"/>
          <w:sz w:val="24"/>
          <w:szCs w:val="24"/>
        </w:rPr>
        <w:t>省部级精品课程、一流课程（含虚拟仿真）7门，省部级教学团队3支；发表各类教改论文27篇；</w:t>
      </w:r>
      <w:r>
        <w:rPr>
          <w:rFonts w:ascii="Times New Roman" w:hAnsi="Times New Roman" w:eastAsia="仿宋"/>
          <w:spacing w:val="-7"/>
          <w:sz w:val="24"/>
          <w:szCs w:val="24"/>
        </w:rPr>
        <w:t>近</w:t>
      </w:r>
      <w:r>
        <w:rPr>
          <w:rFonts w:ascii="Times New Roman" w:hAnsi="Times New Roman" w:eastAsia="Times New Roman"/>
          <w:spacing w:val="-7"/>
          <w:sz w:val="24"/>
          <w:szCs w:val="24"/>
        </w:rPr>
        <w:t>3</w:t>
      </w:r>
      <w:r>
        <w:rPr>
          <w:rFonts w:ascii="Times New Roman" w:hAnsi="Times New Roman" w:eastAsia="仿宋"/>
          <w:spacing w:val="-7"/>
          <w:sz w:val="24"/>
          <w:szCs w:val="24"/>
        </w:rPr>
        <w:t>年</w:t>
      </w:r>
      <w:r>
        <w:rPr>
          <w:rFonts w:ascii="Times New Roman" w:hAnsi="Times New Roman" w:eastAsia="仿宋"/>
          <w:sz w:val="24"/>
          <w:szCs w:val="24"/>
        </w:rPr>
        <w:t>本科生在省部级以上竞赛如国际基因工程机器大赛（iGEM）金牌、国际互联网+大学生创新创业大赛等共获奖项66项，其中，第七届国际互联网+大学生创新创业大赛中国赛铜奖两项、省部级金奖4项、银奖3项、铜奖2项，第八届“创青春”国赛优秀奖等，</w:t>
      </w:r>
      <w:r>
        <w:rPr>
          <w:rFonts w:ascii="Times New Roman" w:hAnsi="Times New Roman" w:eastAsia="仿宋"/>
          <w:spacing w:val="-1"/>
          <w:sz w:val="24"/>
          <w:szCs w:val="24"/>
        </w:rPr>
        <w:t>发表学术论文</w:t>
      </w:r>
      <w:r>
        <w:rPr>
          <w:rFonts w:ascii="Times New Roman" w:hAnsi="Times New Roman" w:eastAsia="Times New Roman"/>
          <w:spacing w:val="-1"/>
          <w:sz w:val="24"/>
          <w:szCs w:val="24"/>
        </w:rPr>
        <w:t>55</w:t>
      </w:r>
      <w:r>
        <w:rPr>
          <w:rFonts w:ascii="Times New Roman" w:hAnsi="Times New Roman" w:eastAsia="仿宋"/>
          <w:spacing w:val="-1"/>
          <w:sz w:val="24"/>
          <w:szCs w:val="24"/>
        </w:rPr>
        <w:t>篇、发明专利</w:t>
      </w:r>
      <w:r>
        <w:rPr>
          <w:rFonts w:ascii="Times New Roman" w:hAnsi="Times New Roman" w:eastAsia="Times New Roman"/>
          <w:spacing w:val="-1"/>
          <w:sz w:val="24"/>
          <w:szCs w:val="24"/>
        </w:rPr>
        <w:t>18</w:t>
      </w:r>
      <w:r>
        <w:rPr>
          <w:rFonts w:ascii="Times New Roman" w:hAnsi="Times New Roman" w:eastAsia="仿宋"/>
          <w:spacing w:val="-1"/>
          <w:sz w:val="24"/>
          <w:szCs w:val="24"/>
        </w:rPr>
        <w:t>项</w:t>
      </w:r>
      <w:r>
        <w:rPr>
          <w:rFonts w:ascii="Times New Roman" w:hAnsi="Times New Roman" w:eastAsia="仿宋"/>
          <w:sz w:val="24"/>
          <w:szCs w:val="24"/>
        </w:rPr>
        <w:t>。</w:t>
      </w:r>
    </w:p>
    <w:p>
      <w:pPr>
        <w:pStyle w:val="2"/>
        <w:spacing w:line="360" w:lineRule="auto"/>
        <w:ind w:firstLine="480"/>
        <w:rPr>
          <w:rFonts w:ascii="Times New Roman" w:hAnsi="Times New Roman"/>
          <w:color w:val="FF0000"/>
          <w:sz w:val="24"/>
          <w:szCs w:val="24"/>
        </w:rPr>
      </w:pPr>
      <w:r>
        <w:rPr>
          <w:rFonts w:ascii="Times New Roman" w:hAnsi="Times New Roman"/>
          <w:sz w:val="24"/>
          <w:szCs w:val="24"/>
        </w:rPr>
        <w:t>（二）教师情况</w:t>
      </w:r>
    </w:p>
    <w:p>
      <w:pPr>
        <w:tabs>
          <w:tab w:val="left" w:pos="5040"/>
        </w:tabs>
        <w:spacing w:line="360" w:lineRule="auto"/>
        <w:ind w:firstLine="480" w:firstLineChars="200"/>
        <w:rPr>
          <w:rFonts w:ascii="Times New Roman" w:hAnsi="Times New Roman" w:eastAsia="仿宋"/>
          <w:sz w:val="24"/>
        </w:rPr>
      </w:pPr>
      <w:r>
        <w:rPr>
          <w:rFonts w:ascii="Times New Roman" w:hAnsi="Times New Roman" w:eastAsia="仿宋"/>
          <w:kern w:val="0"/>
          <w:sz w:val="24"/>
        </w:rPr>
        <w:t>本专业共有专业教师45人（见表1），实验辅助人员11人。本专业在校本科生264人，生师比（在校学生/专职专业教师）为5.86，满足教学需求。本专业现有国家“万人计划”教师1人、科技部中青年科技创新领军人才1人、天津市特聘教授3人、天津市“131”第一层次1人、天津市创新人才推进计划中青年科技创新领军人才2人，这些优质的师资力量为教学育人工作提供了重要的保障。</w:t>
      </w:r>
    </w:p>
    <w:p>
      <w:pPr>
        <w:tabs>
          <w:tab w:val="left" w:pos="284"/>
          <w:tab w:val="left" w:pos="5040"/>
        </w:tabs>
        <w:spacing w:line="360" w:lineRule="auto"/>
        <w:ind w:firstLine="480" w:firstLineChars="200"/>
        <w:rPr>
          <w:rFonts w:ascii="Times New Roman" w:hAnsi="Times New Roman" w:eastAsia="仿宋"/>
          <w:kern w:val="0"/>
          <w:sz w:val="24"/>
        </w:rPr>
      </w:pPr>
      <w:r>
        <w:rPr>
          <w:rFonts w:ascii="Times New Roman" w:hAnsi="Times New Roman" w:eastAsia="仿宋"/>
          <w:kern w:val="0"/>
          <w:sz w:val="24"/>
        </w:rPr>
        <w:t>本专业教师队伍职称结构合理。教授/研究员18人，副教授/副研究员12人，中级教师15人。正高级职称占比40.0%，副高级职称占比26.7%，中级职称占比33.3%</w:t>
      </w:r>
      <w:r>
        <w:rPr>
          <w:rFonts w:ascii="Times New Roman" w:hAnsi="Times New Roman" w:eastAsia="仿宋"/>
          <w:b/>
          <w:kern w:val="0"/>
          <w:sz w:val="24"/>
        </w:rPr>
        <w:t>。</w:t>
      </w:r>
      <w:r>
        <w:rPr>
          <w:rFonts w:ascii="Times New Roman" w:hAnsi="Times New Roman" w:eastAsia="仿宋"/>
          <w:kern w:val="0"/>
          <w:sz w:val="24"/>
        </w:rPr>
        <w:t>本专业教师队伍年龄结构合理，35岁以下教师8人，36~45岁教师25人，46~55岁教师6人，56岁以上教师6人；其中，45岁以下中青年教师33人，占比73.3%。本专业教师队伍具有高学历教育背景。具有博士学位教师45人，占比100%</w:t>
      </w:r>
      <w:r>
        <w:rPr>
          <w:rFonts w:ascii="Times New Roman" w:hAnsi="Times New Roman" w:eastAsia="仿宋"/>
          <w:b/>
          <w:kern w:val="0"/>
          <w:sz w:val="24"/>
        </w:rPr>
        <w:t>。</w:t>
      </w:r>
      <w:r>
        <w:rPr>
          <w:rFonts w:ascii="Times New Roman" w:hAnsi="Times New Roman" w:eastAsia="仿宋"/>
          <w:kern w:val="0"/>
          <w:sz w:val="24"/>
        </w:rPr>
        <w:t>这些数据说明，本专业已拥有一支以高学历中青年教师为主的教学团队。</w:t>
      </w:r>
    </w:p>
    <w:p>
      <w:pPr>
        <w:spacing w:line="360" w:lineRule="auto"/>
        <w:ind w:left="531" w:leftChars="253"/>
        <w:jc w:val="center"/>
        <w:rPr>
          <w:rFonts w:ascii="Times New Roman" w:hAnsi="Times New Roman" w:eastAsia="仿宋"/>
          <w:b/>
          <w:sz w:val="24"/>
        </w:rPr>
      </w:pPr>
      <w:r>
        <w:rPr>
          <w:rFonts w:ascii="Times New Roman" w:hAnsi="Times New Roman" w:eastAsia="仿宋"/>
          <w:b/>
          <w:sz w:val="24"/>
        </w:rPr>
        <w:t>表1本专业专职教师队伍结构</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1920"/>
        <w:gridCol w:w="24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3005" w:type="dxa"/>
            <w:gridSpan w:val="2"/>
            <w:vMerge w:val="restart"/>
            <w:tcBorders>
              <w:top w:val="single" w:color="000000" w:sz="8" w:space="0"/>
              <w:left w:val="single" w:color="000000" w:sz="8" w:space="0"/>
              <w:bottom w:val="single" w:color="000000" w:sz="8" w:space="0"/>
              <w:right w:val="single" w:color="000000" w:sz="8" w:space="0"/>
            </w:tcBorders>
            <w:vAlign w:val="center"/>
          </w:tcPr>
          <w:p>
            <w:pPr>
              <w:spacing w:line="360" w:lineRule="auto"/>
              <w:jc w:val="center"/>
              <w:rPr>
                <w:rFonts w:ascii="Times New Roman" w:hAnsi="Times New Roman" w:eastAsia="仿宋"/>
                <w:sz w:val="24"/>
              </w:rPr>
            </w:pPr>
            <w:r>
              <w:rPr>
                <w:rFonts w:ascii="Times New Roman" w:hAnsi="Times New Roman" w:eastAsia="仿宋"/>
                <w:b/>
                <w:bCs/>
                <w:sz w:val="24"/>
              </w:rPr>
              <w:t>总体情况</w:t>
            </w:r>
          </w:p>
        </w:tc>
        <w:tc>
          <w:tcPr>
            <w:tcW w:w="4686" w:type="dxa"/>
            <w:gridSpan w:val="2"/>
            <w:tcBorders>
              <w:top w:val="single" w:color="000000" w:sz="8" w:space="0"/>
              <w:left w:val="single" w:color="auto"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b/>
                <w:bCs/>
                <w:sz w:val="24"/>
              </w:rPr>
              <w:t>专任教师人数及比例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3005" w:type="dxa"/>
            <w:gridSpan w:val="2"/>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2493" w:type="dxa"/>
            <w:tcBorders>
              <w:top w:val="single" w:color="000000" w:sz="8" w:space="0"/>
              <w:left w:val="single" w:color="auto"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b/>
                <w:bCs/>
                <w:sz w:val="24"/>
              </w:rPr>
              <w:t>人数</w:t>
            </w:r>
          </w:p>
        </w:tc>
        <w:tc>
          <w:tcPr>
            <w:tcW w:w="2193" w:type="dxa"/>
            <w:tcBorders>
              <w:top w:val="single" w:color="auto"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b/>
                <w:bCs/>
                <w:sz w:val="24"/>
              </w:rPr>
              <w:t>比例（%</w:t>
            </w:r>
            <w:r>
              <w:rPr>
                <w:rFonts w:ascii="Times New Roman" w:hAnsi="Times New Roman" w:eastAsia="仿宋"/>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3005" w:type="dxa"/>
            <w:gridSpan w:val="2"/>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2493" w:type="dxa"/>
            <w:tcBorders>
              <w:top w:val="single" w:color="000000" w:sz="8" w:space="0"/>
              <w:left w:val="single" w:color="auto"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45</w:t>
            </w:r>
          </w:p>
        </w:tc>
        <w:tc>
          <w:tcPr>
            <w:tcW w:w="21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085" w:type="dxa"/>
            <w:vMerge w:val="restart"/>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b/>
                <w:bCs/>
                <w:sz w:val="24"/>
              </w:rPr>
              <w:t>职称</w:t>
            </w:r>
          </w:p>
        </w:tc>
        <w:tc>
          <w:tcPr>
            <w:tcW w:w="1919" w:type="dxa"/>
            <w:tcBorders>
              <w:top w:val="single" w:color="auto"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正高级</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18</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085"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副高级</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12</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26.7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085"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中级</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15</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33.3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085"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初级及以下</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0</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085" w:type="dxa"/>
            <w:vMerge w:val="restart"/>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b/>
                <w:bCs/>
                <w:sz w:val="24"/>
              </w:rPr>
              <w:t>学位</w:t>
            </w: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博士</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45</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100.0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085"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硕士</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0</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085"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学士及以下</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0</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85" w:type="dxa"/>
            <w:vMerge w:val="restart"/>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b/>
                <w:bCs/>
                <w:sz w:val="24"/>
              </w:rPr>
              <w:t>年龄</w:t>
            </w: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35岁及以下</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8</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17.8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085"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36~45岁</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25</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55.6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085"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46~55岁</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6</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13.3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085"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p>
        </w:tc>
        <w:tc>
          <w:tcPr>
            <w:tcW w:w="1919"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56岁及以上</w:t>
            </w:r>
          </w:p>
        </w:tc>
        <w:tc>
          <w:tcPr>
            <w:tcW w:w="2493"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Times New Roman" w:hAnsi="Times New Roman" w:eastAsia="仿宋"/>
                <w:sz w:val="24"/>
              </w:rPr>
            </w:pPr>
            <w:r>
              <w:rPr>
                <w:rFonts w:ascii="Times New Roman" w:hAnsi="Times New Roman" w:eastAsia="仿宋"/>
                <w:sz w:val="24"/>
              </w:rPr>
              <w:t>6</w:t>
            </w:r>
          </w:p>
        </w:tc>
        <w:tc>
          <w:tcPr>
            <w:tcW w:w="2193"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Times New Roman" w:hAnsi="Times New Roman" w:eastAsia="仿宋"/>
                <w:sz w:val="24"/>
              </w:rPr>
            </w:pPr>
            <w:r>
              <w:rPr>
                <w:rFonts w:ascii="Times New Roman" w:hAnsi="Times New Roman" w:eastAsia="仿宋"/>
                <w:color w:val="000000"/>
                <w:kern w:val="0"/>
                <w:sz w:val="24"/>
                <w:lang w:bidi="ar"/>
              </w:rPr>
              <w:t xml:space="preserve">13.3 </w:t>
            </w:r>
          </w:p>
        </w:tc>
      </w:tr>
    </w:tbl>
    <w:p>
      <w:pPr>
        <w:spacing w:line="360" w:lineRule="auto"/>
        <w:ind w:firstLine="480" w:firstLineChars="200"/>
        <w:jc w:val="left"/>
        <w:rPr>
          <w:rFonts w:ascii="Times New Roman" w:hAnsi="Times New Roman" w:eastAsia="仿宋"/>
          <w:sz w:val="24"/>
        </w:rPr>
      </w:pPr>
      <w:r>
        <w:rPr>
          <w:rFonts w:ascii="Times New Roman" w:hAnsi="Times New Roman" w:eastAsia="仿宋"/>
          <w:sz w:val="24"/>
        </w:rPr>
        <w:t>注：表中数据指在职全职教师。</w:t>
      </w:r>
    </w:p>
    <w:p>
      <w:pPr>
        <w:pStyle w:val="2"/>
        <w:spacing w:line="360" w:lineRule="auto"/>
        <w:ind w:firstLine="480"/>
        <w:rPr>
          <w:rFonts w:ascii="Times New Roman" w:hAnsi="Times New Roman"/>
          <w:sz w:val="24"/>
          <w:szCs w:val="24"/>
        </w:rPr>
      </w:pPr>
    </w:p>
    <w:p>
      <w:pPr>
        <w:pStyle w:val="2"/>
        <w:numPr>
          <w:ilvl w:val="0"/>
          <w:numId w:val="1"/>
        </w:numPr>
        <w:spacing w:line="360" w:lineRule="auto"/>
        <w:ind w:firstLineChars="0"/>
        <w:rPr>
          <w:rFonts w:ascii="Times New Roman" w:hAnsi="Times New Roman"/>
          <w:color w:val="FF0000"/>
          <w:sz w:val="24"/>
          <w:szCs w:val="24"/>
        </w:rPr>
      </w:pPr>
      <w:r>
        <w:rPr>
          <w:rFonts w:ascii="Times New Roman" w:hAnsi="Times New Roman"/>
          <w:b/>
          <w:bCs/>
          <w:sz w:val="24"/>
          <w:szCs w:val="24"/>
        </w:rPr>
        <w:t>专业发展中亟待解决的主要问题</w:t>
      </w:r>
    </w:p>
    <w:p>
      <w:pPr>
        <w:pStyle w:val="2"/>
        <w:numPr>
          <w:ilvl w:val="0"/>
          <w:numId w:val="2"/>
        </w:numPr>
        <w:spacing w:line="360" w:lineRule="auto"/>
        <w:ind w:firstLineChars="0"/>
        <w:rPr>
          <w:rFonts w:ascii="Times New Roman" w:hAnsi="Times New Roman" w:eastAsia="仿宋"/>
          <w:kern w:val="0"/>
          <w:sz w:val="24"/>
          <w:szCs w:val="24"/>
        </w:rPr>
      </w:pPr>
      <w:r>
        <w:rPr>
          <w:rFonts w:ascii="Times New Roman" w:hAnsi="Times New Roman" w:eastAsia="仿宋"/>
          <w:kern w:val="0"/>
          <w:sz w:val="24"/>
          <w:szCs w:val="24"/>
        </w:rPr>
        <w:t>培养目标评价和修订的管理机制不完善：专业发展过程中，需要紧密结合国家、行业、专业的实际需求，动态的完善培养目标合理性评价和修订的管理机制，评价和修订过程中要加大行业和企业具有影响力的专家的深度参与。</w:t>
      </w:r>
    </w:p>
    <w:p>
      <w:pPr>
        <w:pStyle w:val="2"/>
        <w:spacing w:line="360" w:lineRule="auto"/>
        <w:ind w:left="240" w:hanging="240" w:hangingChars="100"/>
        <w:rPr>
          <w:rFonts w:ascii="Times New Roman" w:hAnsi="Times New Roman"/>
          <w:color w:val="FF0000"/>
          <w:sz w:val="24"/>
          <w:szCs w:val="24"/>
        </w:rPr>
      </w:pPr>
      <w:r>
        <w:rPr>
          <w:rFonts w:ascii="Times New Roman" w:hAnsi="Times New Roman" w:eastAsia="仿宋"/>
          <w:kern w:val="0"/>
          <w:sz w:val="24"/>
          <w:szCs w:val="24"/>
        </w:rPr>
        <w:t>2. 课程体系在突出“新工科”建设特点方面较为薄弱：专业类课程设置方面要密切结合专业定位和培养目标，对课程体系进行全链条优化，包括课程内容、选用教材、教学团队、实践环节等。同时，又要注意多学科的交叉和前沿进展的渗透。</w:t>
      </w:r>
    </w:p>
    <w:p>
      <w:pPr>
        <w:pStyle w:val="2"/>
        <w:spacing w:line="360" w:lineRule="auto"/>
        <w:ind w:left="240" w:hanging="240" w:hangingChars="100"/>
        <w:rPr>
          <w:rFonts w:ascii="Times New Roman" w:hAnsi="Times New Roman" w:eastAsia="仿宋"/>
          <w:kern w:val="0"/>
          <w:sz w:val="24"/>
          <w:szCs w:val="24"/>
        </w:rPr>
      </w:pPr>
      <w:r>
        <w:rPr>
          <w:rFonts w:ascii="Times New Roman" w:hAnsi="Times New Roman" w:eastAsia="仿宋"/>
          <w:kern w:val="0"/>
          <w:sz w:val="24"/>
          <w:szCs w:val="24"/>
        </w:rPr>
        <w:t>3. 师资队伍中教师的专业背景和水平不能高质量的满足工程实践需求：目前教师队伍虽然在数量和结构方面呈现出较好的组成，但在专业背景和水平方面需要进一步优化，尤其是讲授安全、环保和工程设计类课程的教师应该具有较丰富的工程实践经验。要加大对教师参与全国性制药工程教学研讨会和师资培训的支撑力度，优化教师发展环境，为重点教师和重点团队“量体裁衣”，制定有效的教师培养计划和举措，提升教师终身学习和持续发展的能力。</w:t>
      </w:r>
    </w:p>
    <w:p>
      <w:pPr>
        <w:pStyle w:val="2"/>
        <w:spacing w:line="360" w:lineRule="auto"/>
        <w:ind w:left="240" w:hanging="240" w:hangingChars="100"/>
        <w:rPr>
          <w:rFonts w:ascii="Times New Roman" w:hAnsi="Times New Roman" w:eastAsia="仿宋"/>
          <w:kern w:val="0"/>
          <w:sz w:val="24"/>
          <w:szCs w:val="24"/>
        </w:rPr>
      </w:pPr>
      <w:r>
        <w:rPr>
          <w:rFonts w:ascii="Times New Roman" w:hAnsi="Times New Roman" w:eastAsia="仿宋"/>
          <w:kern w:val="0"/>
          <w:sz w:val="24"/>
          <w:szCs w:val="24"/>
        </w:rPr>
        <w:t>4. 支持条件方面存在严重不足。随着专业建设的高质量发展，现有的经费和设备投入已经无法满足需求，尤其是在教学用房和实验条件等方面。一些药学类专业基础实验的开设质量不高，涉及到的实验室面积、仪器设备的台套数、中试规模或小型工业化设备，消防和安全设施等均无法满足国标要求。</w:t>
      </w:r>
    </w:p>
    <w:p>
      <w:pPr>
        <w:pStyle w:val="2"/>
        <w:spacing w:line="360" w:lineRule="auto"/>
        <w:ind w:firstLineChars="0"/>
        <w:rPr>
          <w:rFonts w:ascii="Times New Roman" w:hAnsi="Times New Roman"/>
          <w:color w:val="FF0000"/>
          <w:sz w:val="24"/>
          <w:szCs w:val="24"/>
        </w:rPr>
      </w:pPr>
      <w:r>
        <w:rPr>
          <w:rFonts w:ascii="Times New Roman" w:hAnsi="Times New Roman"/>
          <w:b/>
          <w:bCs/>
          <w:sz w:val="24"/>
          <w:szCs w:val="24"/>
        </w:rPr>
        <w:t xml:space="preserve">三、专业新时期指导思想 </w:t>
      </w:r>
    </w:p>
    <w:p>
      <w:pPr>
        <w:widowControl/>
        <w:autoSpaceDE w:val="0"/>
        <w:autoSpaceDN w:val="0"/>
        <w:adjustRightInd w:val="0"/>
        <w:spacing w:line="360" w:lineRule="auto"/>
        <w:ind w:firstLine="480" w:firstLineChars="200"/>
        <w:jc w:val="left"/>
        <w:rPr>
          <w:rFonts w:ascii="Times New Roman" w:hAnsi="Times New Roman" w:eastAsia="仿宋"/>
          <w:kern w:val="0"/>
          <w:sz w:val="24"/>
        </w:rPr>
      </w:pPr>
      <w:r>
        <w:rPr>
          <w:rFonts w:ascii="Times New Roman" w:hAnsi="Times New Roman" w:eastAsia="仿宋"/>
          <w:kern w:val="0"/>
          <w:sz w:val="24"/>
        </w:rPr>
        <w:t>以习近平新时代中国特色社会主义思想为指导，全面贯彻落实党的教育方针，全面落实立德树人根本任务，坚持教育必须为社会主义现代化建设服务、为人民服务，必须与生产劳动和社会实践相结合，培养德智体美劳全面发展的社会主义建设者和接班人。紧紧围绕“新工科”建设和学校“双一流”建设目标，面向国家重大战略、面向国家和区域经济社会发展、全面提升办学质量和效益，将本专业建设成为京津冀乃至我国制药工程领域高素质应用型人才的重要培养基地，为同类型高校相关专业建设起到示范和引领作用。</w:t>
      </w:r>
    </w:p>
    <w:p>
      <w:pPr>
        <w:pStyle w:val="2"/>
        <w:spacing w:line="360" w:lineRule="auto"/>
        <w:ind w:firstLine="0" w:firstLineChars="0"/>
        <w:rPr>
          <w:rFonts w:ascii="Times New Roman" w:hAnsi="Times New Roman"/>
          <w:b/>
          <w:bCs/>
          <w:sz w:val="24"/>
          <w:szCs w:val="24"/>
        </w:rPr>
      </w:pPr>
      <w:r>
        <w:rPr>
          <w:rFonts w:ascii="Times New Roman" w:hAnsi="Times New Roman"/>
          <w:b/>
          <w:bCs/>
          <w:sz w:val="24"/>
          <w:szCs w:val="24"/>
        </w:rPr>
        <w:t xml:space="preserve">四、专业培养新定位 </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（一）行业现状</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药品是保障人民生命健康和国家繁荣稳定的战略性资源，医药产业是21 世纪许多国家优先发展的战略性产业之一，制药行业已成为全球化背景下世界各国经济实力竞争的关键。在“健康中国行动”背景下， 2030 年我国将实现“跨入世界制药强国”的目标，这是党中央和国务院的重大战略部署。近年来，我国制药行业发展迅速，医药企业不断更新生产设备、改进和提升生产工艺，已发展成为推动国民经济高速健康发展的重要力量。</w:t>
      </w:r>
    </w:p>
    <w:p>
      <w:pPr>
        <w:pStyle w:val="2"/>
        <w:spacing w:line="360" w:lineRule="auto"/>
        <w:ind w:firstLine="480"/>
        <w:rPr>
          <w:rFonts w:ascii="Times New Roman" w:hAnsi="Times New Roman"/>
          <w:sz w:val="24"/>
          <w:szCs w:val="24"/>
        </w:rPr>
      </w:pPr>
      <w:r>
        <w:rPr>
          <w:rFonts w:ascii="Times New Roman" w:hAnsi="Times New Roman"/>
          <w:sz w:val="24"/>
          <w:szCs w:val="24"/>
        </w:rPr>
        <w:t>（二）人才需求分析</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目前我国正在加速实现从制药大国到制药强国的转变，制药行业发展速度很快，迫切需要具有良好创新意识和工程实践能力，能够从事药品生产技术开发、生产工艺设计、药品生产质量管理等方面的高素质应用型人才。医药行业对制药工程专业高素质应用型人才的需求尤为紧迫。但医药企业招不到合适的人才，制药工程专业大学毕业生找不到理想的工作这一问题越发明显。究其原因，主要因为高等院校制药工程专业传统的人才培养模式，严重脱离产业需求，导致人才供求严重错位。</w:t>
      </w:r>
      <w:r>
        <w:rPr>
          <w:rFonts w:hint="eastAsia" w:ascii="Times New Roman" w:hAnsi="Times New Roman" w:eastAsia="仿宋"/>
          <w:kern w:val="0"/>
          <w:sz w:val="24"/>
          <w:szCs w:val="24"/>
        </w:rPr>
        <w:t>天津科技大学的</w:t>
      </w:r>
      <w:r>
        <w:rPr>
          <w:rFonts w:ascii="Times New Roman" w:hAnsi="Times New Roman" w:eastAsia="仿宋"/>
          <w:kern w:val="0"/>
          <w:sz w:val="24"/>
          <w:szCs w:val="24"/>
        </w:rPr>
        <w:t>制药工程专业，肩负为</w:t>
      </w:r>
      <w:r>
        <w:rPr>
          <w:rFonts w:hint="eastAsia" w:ascii="Times New Roman" w:hAnsi="Times New Roman" w:eastAsia="仿宋"/>
          <w:kern w:val="0"/>
          <w:sz w:val="24"/>
          <w:szCs w:val="24"/>
        </w:rPr>
        <w:t>京津冀区域</w:t>
      </w:r>
      <w:r>
        <w:rPr>
          <w:rFonts w:ascii="Times New Roman" w:hAnsi="Times New Roman" w:eastAsia="仿宋"/>
          <w:kern w:val="0"/>
          <w:sz w:val="24"/>
          <w:szCs w:val="24"/>
        </w:rPr>
        <w:t>医药产业培养高素质应用型人才的重任，以地方医药产业对新工科应用型人才的需求为导向，不断深化制药工程专业教育改革，积极探索和创新新工科背景下的应用型人才培养模式，使人才培养和产业需求充分对接</w:t>
      </w:r>
      <w:r>
        <w:rPr>
          <w:rFonts w:hint="eastAsia" w:ascii="Times New Roman" w:hAnsi="Times New Roman" w:eastAsia="仿宋"/>
          <w:kern w:val="0"/>
          <w:sz w:val="24"/>
          <w:szCs w:val="24"/>
        </w:rPr>
        <w:t>，</w:t>
      </w:r>
      <w:r>
        <w:rPr>
          <w:rFonts w:ascii="Times New Roman" w:hAnsi="Times New Roman" w:eastAsia="仿宋"/>
          <w:kern w:val="0"/>
          <w:sz w:val="24"/>
          <w:szCs w:val="24"/>
        </w:rPr>
        <w:t>以支撑和促进</w:t>
      </w:r>
      <w:r>
        <w:rPr>
          <w:rFonts w:hint="eastAsia" w:ascii="Times New Roman" w:hAnsi="Times New Roman" w:eastAsia="仿宋"/>
          <w:kern w:val="0"/>
          <w:sz w:val="24"/>
          <w:szCs w:val="24"/>
        </w:rPr>
        <w:t>区域</w:t>
      </w:r>
      <w:r>
        <w:rPr>
          <w:rFonts w:ascii="Times New Roman" w:hAnsi="Times New Roman" w:eastAsia="仿宋"/>
          <w:kern w:val="0"/>
          <w:sz w:val="24"/>
          <w:szCs w:val="24"/>
        </w:rPr>
        <w:t>医药产业的健康、快速发展。</w:t>
      </w:r>
    </w:p>
    <w:p>
      <w:pPr>
        <w:pStyle w:val="2"/>
        <w:spacing w:line="360" w:lineRule="auto"/>
        <w:ind w:firstLine="480"/>
        <w:rPr>
          <w:rFonts w:ascii="Times New Roman" w:hAnsi="Times New Roman"/>
          <w:sz w:val="24"/>
          <w:szCs w:val="24"/>
        </w:rPr>
      </w:pPr>
      <w:r>
        <w:rPr>
          <w:rFonts w:ascii="Times New Roman" w:hAnsi="Times New Roman"/>
          <w:sz w:val="24"/>
          <w:szCs w:val="24"/>
        </w:rPr>
        <w:t>（三）学科专业链分析</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以制药产业链为依托，以服务制药产业链为目的，进而形成的一系列相关学科、专业与产业链之间的相互作用或相互联系，充分促进人才、资本、信息、技术等创新要素融合和活力释放，真正形成了以学科、专业为基本内核的内涵发展模式。积极适应制药产业转型升级和可持续发展，贯彻培养能解决制药领域复杂工程问题，富有创新能力的高素质工程技术人才培养理念，以人员融合、资源对接、利益共享为手段，切实有效提升专业与行业企业在人才培养、知识产出、产品与服务输出的能力，最终达到“专业-产业链”的协同发展。</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制药工程专业秉承产教融合理念，坚持人才培养和产业需求充分对接，依托天津科技大学生物医药现代产业学院“鹤鸣书院”，充分发挥优势，积极推进产教融合、校企合作，促进优质产教资源双向转化，为京津冀区域和制药产业提供各种服务，同时促进专业自身的可持续发展。</w:t>
      </w:r>
    </w:p>
    <w:p>
      <w:pPr>
        <w:pStyle w:val="2"/>
        <w:spacing w:line="360" w:lineRule="auto"/>
        <w:ind w:firstLine="480"/>
        <w:rPr>
          <w:rFonts w:ascii="Times New Roman" w:hAnsi="Times New Roman"/>
          <w:sz w:val="24"/>
          <w:szCs w:val="24"/>
        </w:rPr>
      </w:pPr>
      <w:r>
        <w:rPr>
          <w:rFonts w:ascii="Times New Roman" w:hAnsi="Times New Roman"/>
          <w:sz w:val="24"/>
          <w:szCs w:val="24"/>
        </w:rPr>
        <w:t>（四）专业定位</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适应健康中国的国家战略性需求，服务国家及京津冀区域经济社会发展需求，依托我校生物发酵与轻化工传统优势，重点围绕生化药物工程技术领域，建设特色鲜明、国内一流的本科专业。培养制药工程领域德、智、体、美、劳全面发展的社会主义事业合格建设者和可靠接班人，能解决制药领域复杂工程问题，从事药物生产、工程设计与管理及新技术、新产品研发等工作，富有创新能力与国际化视野的高素质工程技术人才。</w:t>
      </w:r>
    </w:p>
    <w:p>
      <w:pPr>
        <w:spacing w:line="360" w:lineRule="auto"/>
        <w:rPr>
          <w:rFonts w:ascii="Times New Roman" w:hAnsi="Times New Roman" w:eastAsia="仿宋_GB2312"/>
          <w:color w:val="FF0000"/>
          <w:sz w:val="24"/>
        </w:rPr>
      </w:pPr>
      <w:r>
        <w:rPr>
          <w:rFonts w:ascii="Times New Roman" w:hAnsi="Times New Roman" w:eastAsia="仿宋_GB2312"/>
          <w:b/>
          <w:bCs/>
          <w:sz w:val="24"/>
        </w:rPr>
        <w:t>五、专业标志性成果目标</w:t>
      </w:r>
    </w:p>
    <w:p>
      <w:pPr>
        <w:spacing w:line="360" w:lineRule="auto"/>
        <w:ind w:firstLine="480" w:firstLineChars="200"/>
        <w:rPr>
          <w:rFonts w:ascii="Times New Roman" w:hAnsi="Times New Roman" w:eastAsia="仿宋_GB2312"/>
          <w:sz w:val="24"/>
        </w:rPr>
      </w:pPr>
      <w:r>
        <w:rPr>
          <w:rFonts w:ascii="Times New Roman" w:hAnsi="Times New Roman" w:eastAsia="仿宋_GB2312"/>
          <w:sz w:val="24"/>
        </w:rPr>
        <w:t>（一）专业认证</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2022年10月</w:t>
      </w:r>
      <w:r>
        <w:rPr>
          <w:rFonts w:hint="eastAsia" w:ascii="Times New Roman" w:hAnsi="Times New Roman" w:eastAsia="仿宋"/>
          <w:kern w:val="0"/>
          <w:sz w:val="24"/>
          <w:szCs w:val="24"/>
        </w:rPr>
        <w:t>，已</w:t>
      </w:r>
      <w:r>
        <w:rPr>
          <w:rFonts w:ascii="Times New Roman" w:hAnsi="Times New Roman" w:eastAsia="仿宋"/>
          <w:kern w:val="0"/>
          <w:sz w:val="24"/>
          <w:szCs w:val="24"/>
        </w:rPr>
        <w:t>按照《工程教育认证学校工作指南》的要求完成工程教育专业认证申请书的攥写，并提交秘书处，完成申请。负责人：骆健美</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2023年 依照《工程教育认证标准》完成对专业的办学情况和教学质量进行自我检查；在工程认证申请书已受理前提下，在专业教学自评基础上完成自评报告的撰写。依照《工程教学认证标准》对专业的办学情况和教学质量中的不足之处进行持续改进； 在《自评报告》提交并通过审查前提下，完成自评报告的补充与修改，并准备迎接专家入校检查。负责人：骆健美</w:t>
      </w:r>
      <w:r>
        <w:rPr>
          <w:rFonts w:hint="eastAsia" w:ascii="Times New Roman" w:hAnsi="Times New Roman" w:eastAsia="仿宋"/>
          <w:kern w:val="0"/>
          <w:sz w:val="24"/>
          <w:szCs w:val="24"/>
        </w:rPr>
        <w:t>。</w:t>
      </w:r>
    </w:p>
    <w:p>
      <w:pPr>
        <w:pStyle w:val="2"/>
        <w:spacing w:line="360" w:lineRule="auto"/>
        <w:ind w:firstLine="480"/>
        <w:rPr>
          <w:rFonts w:ascii="Times New Roman" w:hAnsi="Times New Roman" w:eastAsia="仿宋"/>
          <w:kern w:val="0"/>
          <w:sz w:val="24"/>
          <w:szCs w:val="24"/>
        </w:rPr>
      </w:pPr>
      <w:r>
        <w:rPr>
          <w:rFonts w:ascii="Times New Roman" w:hAnsi="Times New Roman" w:eastAsia="仿宋"/>
          <w:kern w:val="0"/>
          <w:sz w:val="24"/>
          <w:szCs w:val="24"/>
        </w:rPr>
        <w:t>2024年-2026年 依照《工程教学认证标准》对专业的办学情况和教学质量中的不足之处进行持续改进。负责人：骆健美</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（二）教学资源投入</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为保障制药工程专业教学经费的投入和使用，学校出台了《天津科技大学二级学院日常运行教学经费分配办法》，学院出台了《生物工程学院本科生生产实习校外导师费管理办法》，建立了一套管理办法，有效做到：①统筹兼顾，保证重点；②集中核算，分级管理；③严格预算，严格制度；④加强管理，落实责任；⑤强化监督。通过制度监督，确保教学经费足额投入到教学工作中，保证教学经费能够足额充分和高效使用。</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为充分调动老师积极参与教学改革和课程建设积极性，学校出台了《天津科技大学教育教学改革研究项目管理办法》，同时为有效推进此项工作，有针对性对教学的各个环节进行改革。</w:t>
      </w:r>
    </w:p>
    <w:p>
      <w:pPr>
        <w:spacing w:line="360" w:lineRule="auto"/>
        <w:ind w:firstLine="480" w:firstLineChars="200"/>
        <w:rPr>
          <w:rFonts w:ascii="仿宋" w:hAnsi="仿宋" w:eastAsia="仿宋"/>
          <w:sz w:val="24"/>
        </w:rPr>
      </w:pPr>
      <w:r>
        <w:rPr>
          <w:rFonts w:hint="eastAsia" w:ascii="仿宋" w:hAnsi="仿宋" w:eastAsia="仿宋"/>
          <w:sz w:val="24"/>
        </w:rPr>
        <w:t>针对现有实验面积紧张、人均设备台套数不足、实验教学经费缺口较大等问题，今后将在现有生物工程国家级实验教学示范中心基础上继续从天津市、企业个人捐赠、等多方面争取资源，加强投入，争取每年专业建设经费不少于</w:t>
      </w:r>
      <w:r>
        <w:rPr>
          <w:rFonts w:ascii="仿宋" w:hAnsi="仿宋" w:eastAsia="仿宋"/>
          <w:sz w:val="24"/>
        </w:rPr>
        <w:t>2</w:t>
      </w:r>
      <w:r>
        <w:rPr>
          <w:rFonts w:hint="eastAsia" w:ascii="仿宋" w:hAnsi="仿宋" w:eastAsia="仿宋"/>
          <w:sz w:val="24"/>
        </w:rPr>
        <w:t>00万元，实验室面积每年有所增加，以满足国家标准和工程认证标准要求。具体由学院书记、院长、教学副院长及科研副院长牵头分工负责。</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（三）课程体系模式改革</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1.更新培养理念</w:t>
      </w:r>
    </w:p>
    <w:p>
      <w:pPr>
        <w:pStyle w:val="2"/>
        <w:spacing w:line="360" w:lineRule="auto"/>
        <w:ind w:firstLine="420" w:firstLineChars="0"/>
        <w:rPr>
          <w:rFonts w:ascii="Times New Roman" w:hAnsi="Times New Roman" w:eastAsia="仿宋"/>
          <w:sz w:val="24"/>
          <w:szCs w:val="24"/>
        </w:rPr>
      </w:pPr>
      <w:r>
        <w:rPr>
          <w:rFonts w:hint="eastAsia" w:ascii="仿宋" w:hAnsi="仿宋" w:eastAsia="仿宋"/>
          <w:sz w:val="24"/>
          <w:szCs w:val="24"/>
        </w:rPr>
        <w:t>传统工科培养理念是以学科为导向、遵循专业设置按学科划分原则，教育模式倾向于解决确定问题的科学模式，只是结构强调知识体系的系统性和完备性。新工科则呼唤产出导向或成果导向教育</w:t>
      </w:r>
      <w:r>
        <w:rPr>
          <w:rFonts w:ascii="Times New Roman" w:hAnsi="Times New Roman" w:eastAsia="仿宋"/>
          <w:sz w:val="24"/>
          <w:szCs w:val="24"/>
        </w:rPr>
        <w:t>(Outcome based education，简称OBE,</w:t>
      </w:r>
      <w:r>
        <w:rPr>
          <w:rFonts w:hint="eastAsia" w:ascii="仿宋" w:hAnsi="仿宋" w:eastAsia="仿宋"/>
          <w:sz w:val="24"/>
          <w:szCs w:val="24"/>
        </w:rPr>
        <w:t>亦称能力导向教育、目</w:t>
      </w:r>
      <w:r>
        <w:rPr>
          <w:rFonts w:ascii="Times New Roman" w:hAnsi="Times New Roman" w:eastAsia="仿宋"/>
          <w:sz w:val="24"/>
          <w:szCs w:val="24"/>
        </w:rPr>
        <w:t>标导向教育或需求导向教育）教育理念。紧扣生物产业发展对本科专业人才的需求特点，坚持以产出为导向的工程教育的理念，OBE关注四个问题：我们想让学生取得的学习成果是什么；为什么要让学生取得这样的学习成果；如何有效地帮助学生取得这些学习成果；如何知道学生已经取得了这些学习成果，并依次细分教学内容和教学环节关联矩阵，持续改进教学效果。OBE理念由3个下位理念组成，即以学生为中心、反向设计及持续改进。</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在新工科要求下改变原来以教师为中心的教学向学生为中心的教学改变，正确把握教学本质、教学目的和教学原则。参照OBE理念从需求开始进行反向设计，保证教育目标于结果的一致性。采用形成性教学评价，在课程、教学和实习过程中使用系统评价，以改进教学效果。</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2.优化培养目标和素质结构</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参照新工科、国家专业标准等要求，参照OBE人才培养模式对照学生的毕业能力设定具体要求：</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1）拟定专业毕业要求。确定工科专业毕业能力要求，包括工程知识、问题分析、设计/开发解决方案、复杂工程问题研究、使用现代工具、工程与社会影响评价、工程实践与环境和可持续发展理解评估、职业规范、个人和团队角色承担、沟通、项目管理、终身学习。</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（2）确定专业分项能力点。结合</w:t>
      </w:r>
      <w:r>
        <w:rPr>
          <w:rFonts w:hint="eastAsia" w:ascii="Times New Roman" w:hAnsi="Times New Roman" w:eastAsia="仿宋"/>
          <w:sz w:val="24"/>
          <w:szCs w:val="24"/>
        </w:rPr>
        <w:t>制药</w:t>
      </w:r>
      <w:r>
        <w:rPr>
          <w:rFonts w:ascii="Times New Roman" w:hAnsi="Times New Roman" w:eastAsia="仿宋"/>
          <w:sz w:val="24"/>
          <w:szCs w:val="24"/>
        </w:rPr>
        <w:t>工程专业的实际确定专业毕业要求的各项能力指标点。</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（3）各分项能力对接课程、教学环节。将各分项能力指标点对接现行人才培养计划中的全部课程和教学环节。</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实际执行过程中，要做好五个确定：确定专业毕业要求；确定专业毕业要求中每个要求对应的分指标点；确定支撑各分指标点对应的教学环节；确定各对应教学环节的权重；确定各教学环节课程目标。</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3.优化课程体系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（1）加强基础课程建设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探索基础课程体系优化模式，在现有公共基础必修课的基础上，增加人文、社科等选修课，拓展学生的知识领域和文化视野，全面提升其对产业结构变化、知识结构更新、社会发展的适应能力和发展能力，促进其全面和谐发展。</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（2）推进核心课程和学科交叉课程的建设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根据生物产业的发展和新需求，优化核心课程，注重知识的连贯性、递进性、广博性和专业性，建立与之相适应的核心课程群。根据学科发展前沿和专业特色设置专业选修课和个性化课程；设置跨学科领域、边缘学科领域的课程，实现学科间的交叉渗透。</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（3）优化创新能力培养体系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依托发酵工程国家重点学科、工业酶国家工程实验室和工业微生物教育部重点实验室等教学科研平台，开展多种形式的科研实践教学，培养学生的创新意识。增设“生物技术创新思维与方法学”类课程，使学生全面参与并得到科学系统的训练。加强“学院-学校-天津市-国家”四级创新实验体系中的学院层级创新实验、创新活动以及创新竞赛，将“夜光杯葡萄酒大赛”、“酶好生活”等学院特色创新活动扩大到天津市相关高校，引入企业和产业协会层面评价，在扩大学生参与的覆盖面同时，强化创新与产业技术或者产品开发的对接，以提升创新活动的影响力和教学效果。进一步充分利用拥有的劳动和社会保障部酿酒行业职业技能鉴定站和氨基酸行业职业技能鉴定站资源，加大酿酒、品酒、氨基酸发酵等行业技能培训力度。学生通过系统的行业理论学习和生产实践培训。通过上述课程内外两种递进模式的相互联系、相互促进，全方位加强实践性教学，优化创新能力培养体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课程体系模式改革与培养方案修订同步，按照4年一大改，每年一小改进行，主要由学院教指委成员根据教育部、专业标准、工程认证标准及学校要求进行。</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（四）实践教学体系改革</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进行实践教学体系改革。改革与完善基础实验-专业实验-职业技能-创新实验四个模块组成的点面兼顾的实验教学体系。改革“毕业实习”课程教学模式，以企业生产线实训模式替代企业参观模式的教学方法，提升实践效果。通过有效整合，形成由工程训练培养体系和实验技能培养体系共同构成的有机、系统的实践教学体系。通过课程设计、工程实践和毕业设计等工程训练培养，以及基础实验、专业基础实验、</w:t>
      </w:r>
      <w:r>
        <w:rPr>
          <w:rFonts w:hint="eastAsia" w:ascii="仿宋" w:hAnsi="仿宋" w:eastAsia="仿宋"/>
          <w:sz w:val="24"/>
          <w:szCs w:val="24"/>
          <w:lang w:val="en-US" w:eastAsia="zh-CN"/>
        </w:rPr>
        <w:t>制药</w:t>
      </w:r>
      <w:r>
        <w:rPr>
          <w:rFonts w:hint="eastAsia" w:ascii="仿宋" w:hAnsi="仿宋" w:eastAsia="仿宋"/>
          <w:sz w:val="24"/>
          <w:szCs w:val="24"/>
        </w:rPr>
        <w:t>工程工艺实验、科研创新实验、毕业论文等环节的实验技能培养。使每个学生都能够得到科学、工程与技术等多方面训练。</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以生物工程国家级实验教学示范中心、工业发酵微生物教育部重点实验室、代谢控制发酵技术国家地方联合工程实验室等教学科研平台及产业学院为依托，继续加强建设，保障建设经费投入，完善功能模块、进一步优化设备配置，涵盖生物工程产业上中下游各个生产环节，保证每个学生都将动手参加某种典型生物产品从原料处理、发酵、分离提取到成品制造的整个生产过程，从而强化其对生物产品生产过程、生产设备、生产工艺等相关知识的认识，提高学生的工程实践意识和实际操作能力。</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校外实习实训基地是提高工程实践能力的重要平台，在巩固现有校外实习基地的同时，依托产业学院相关企业进一步拓展实习基地，达到生物产业多领域涵盖。同时依托生物工程学院董事会，以董事会章程的形式确定了各董事单位有接受本专业学生开展认识实习、生产实习及其他相关职业技能培训的义务，从而从制度上保证了校外实习实训基地的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加强已有虚拟仿真实验室建设，进一步增加利用效率，并扩充其应用范围。在此基础上，积极鼓励新虚拟仿真实验室的申请。</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由教学副院长、系主任、教研室主任负责，按照4年一大改每年一小改原则进行实践教学体系改革。</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（五）专业师资队伍建设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1.青年教师培养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学院高度重视教师的发展，对新入职青年教师，一律编入具体教学科研团队，以团队制的形式助推其快速成长。同时，积极支持青年教师参加各类教学会议和比赛，提升教学水平。学院每年定期举办院级青年教师教学基本功大赛，以赛促练，帮助青年教师提高教学基本功。通过科技特派员（近3年达69人次）、企业培训、横向科研项目等形式，深入企业合作，提高青年教师的工程能力。</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 国际化教师引进与培养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学院重视国际化高水平师资引进，通过邀请国外学者来校讲座、学术交流及国内教师到国外交流机会，积极与高外高水平教师进行交流，介绍学校人才引进政策，吸引和鼓励国外高水平学者回国任教。此外还每年资助至少2-3名中青年教师赴国外进行一年左右访学交流，支持多名教师短期赴国外交流。通过国外人才引进与本土人才培养两种方式提高师资国际化水平。</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3.教辅队伍建设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实验员、辅导员、教学管理等岗位的教师数量相对偏少，且这些岗位教师存在职业发展路径狭窄、学校招聘编制受限等问题，随着部分教师临近退休年龄，未来存在一定的人力风险。与学校相关部门积极沟通，改进职称评审及招聘引人政策。同时考虑尝试寻求合适的外聘兼职教师，弥补一些岗位教师人手的不足。</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由学院书记、院长负责，力争每年引进教师、教辅人员5名以上。</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（六）教材建设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积极推进教材建设，坚持以提高质量作为教材建设的核心任务，紧密结合国家和行业对人才的需求，以立足时代、面向未来的视野进行教材建设。结合学科和生物技术的进展，根据培养模式的要求和专业建设的需要，在现有教材体系的基础上，通过聘请专家讲座、立项资助等措施积极鼓励和组织教师参加教材的编写和再版，尤其是涉及到培养学生基本理论和基本技能的主干课程，保证高质量教材进入课堂；邀请企业工程师与教师合作编著实践教学类教材。出版一批理念先进、培养目标精准、引领发展、兼职理论和实践的高质量教材，建成具有鲜明专业特色的教材新体系。由教学副院长、系主任、教研室主任分工负责，力争每年出版再版教材2-3部。</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（七）就业质量和社会声誉提升</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 xml:space="preserve"> </w:t>
      </w:r>
      <w:r>
        <w:rPr>
          <w:rFonts w:hint="eastAsia" w:ascii="仿宋" w:hAnsi="仿宋" w:eastAsia="仿宋"/>
          <w:sz w:val="24"/>
          <w:szCs w:val="24"/>
        </w:rPr>
        <w:t>加强全过程管理，注重前期的就业分类指导和帮扶</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结合学院学生的实际情况，从大四上学期开始，积极与班导师进行合作，对毕业生开展分门别类的指导，以就业去向为标准，强化班导师对毕业生的就业指导和帮扶工作；大四下半学期，加强毕业生的就业推动工作，尤其是加强对就业困难学生的帮扶和指导工作，积极向其推荐就业岗位，帮助其完善就业简历，鼓励其积极参加企业面试，提高就业质量和就业率。</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 xml:space="preserve"> </w:t>
      </w:r>
      <w:r>
        <w:rPr>
          <w:rFonts w:hint="eastAsia" w:ascii="仿宋" w:hAnsi="仿宋" w:eastAsia="仿宋"/>
          <w:sz w:val="24"/>
          <w:szCs w:val="24"/>
        </w:rPr>
        <w:t>挖掘校友资源、加强企业联系，搭建良好就业平台</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充分挖掘校友资源，广泛联络毕业优秀校友，进一步挖掘广大校友资源，为在校学生提供更多有效、高质量的就业岗位。积极动员学院老师推荐企业，通过电话回访、实地考察等方式不断加强与企业的联系，采取“引进来”和“走出去与”的策略，欢迎招聘企业来学院做宣讲，尤其是利用新成立的产业学院企业资源，与企业建立紧密的联系，尝试建立校企合作模式，探索校企实习基地建设，进一步完善学生的就业平台，提高毕业生的实践能力和就业能力。</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3.充分利用新媒体，加大就业政策宣传力度和引导力度</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为引导学生认清当前形势，树立正确的就业观念，积极面对就业，学院对有意向就业的同学进行就业政策宣传讲解，为同学详细分析当前就业形势，帮助同学们及早准备，做信息搜集工作，寻找自己理想的工作方向。充分利用学院个人微信平台、QQ群等多种新媒体途径，向毕业生宣传国家和学校的就业创业政策，对于不同就业意向的同学，开展一对一的精准帮扶和指导工作，提高就业的质量和实效性。</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 xml:space="preserve"> </w:t>
      </w:r>
      <w:r>
        <w:rPr>
          <w:rFonts w:hint="eastAsia" w:ascii="仿宋" w:hAnsi="仿宋" w:eastAsia="仿宋"/>
          <w:sz w:val="24"/>
          <w:szCs w:val="24"/>
        </w:rPr>
        <w:t>加强低年级学生职业生涯辅导</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针对部分学生存在就业观念陈旧、就业期望值过高、就业目标模糊和内驱力不足等“慢”就业现象，学院从低年级学生开始，逐步开展就业政策的宣传和指导工作，唤醒学生自主就业创业意识，明确就业目标，积极主动地就业。</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由学院副书记、学生办公室负责，每年对毕业生就业情况进行统计分析，针对不足及时进行持续改进。</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（八）加强国际化培养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世界局势处于大转型、大变革的关口，</w:t>
      </w:r>
      <w:r>
        <w:rPr>
          <w:rFonts w:hint="eastAsia" w:ascii="仿宋" w:hAnsi="仿宋" w:eastAsia="仿宋"/>
          <w:sz w:val="24"/>
          <w:szCs w:val="24"/>
          <w:lang w:val="en-US" w:eastAsia="zh-CN"/>
        </w:rPr>
        <w:t>制药</w:t>
      </w:r>
      <w:r>
        <w:rPr>
          <w:rFonts w:hint="eastAsia" w:ascii="仿宋" w:hAnsi="仿宋" w:eastAsia="仿宋"/>
          <w:sz w:val="24"/>
          <w:szCs w:val="24"/>
        </w:rPr>
        <w:t>工程领域的人才培养必须以面向未来和领跑世界为目标追求，专业将通过“请进来、走出去”的双向教育国际化探索，切实提升教育教学国际化水平。</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1积极筹措经费</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将国际交流列入预算，加强中外学生的统筹管理，增加国内外学生学习交流和互访的数量，以培养具有国际视野的高水平创新人才。</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2营造国际化教育校园氛围</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加强专业的对外宣传力度，包括对专业特色、核心课程、优秀专家学者的相关宣传；完善中外文版式的各级网站、文件资料；积极邀请海外专家开展学术讲座，拓宽师生的国际视野；积极建设双语、外语授课课程，引进国外先进教材，培养学生的国际交往能力。</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3拓展国际交流渠道</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在前期英国赫瑞瓦特大学合作开办生物工程（酿造与蒸馏）专业、英国布拉德福德大学启动了英中大学生合作创业项目、泰国易三仓大学建立了</w:t>
      </w:r>
      <w:r>
        <w:rPr>
          <w:rFonts w:hint="eastAsia" w:ascii="Times New Roman" w:hAnsi="Times New Roman" w:eastAsia="仿宋"/>
          <w:sz w:val="24"/>
          <w:szCs w:val="24"/>
        </w:rPr>
        <w:t>制药</w:t>
      </w:r>
      <w:r>
        <w:rPr>
          <w:rFonts w:ascii="Times New Roman" w:hAnsi="Times New Roman" w:eastAsia="仿宋"/>
          <w:sz w:val="24"/>
          <w:szCs w:val="24"/>
        </w:rPr>
        <w:t>工程专业的交流常态化和Biological Engineering本科留学生专业基础上继续拓展学生国际交流活动渠道，增加中外校际学术与文化交流项目，为学生的国际化学习和体验创造更多的机会；支持学生参加国际学术会议、国际学科竞赛、国际夏（冬）令营等国际交流活动；积极举办国际学术会议，增长学生的国际交流经验和能力。此外引进国外优质教育资源，聘请高水平的海外教师、专家学者来校进行学术交流、科研合作。</w:t>
      </w:r>
    </w:p>
    <w:p>
      <w:pPr>
        <w:pStyle w:val="2"/>
        <w:spacing w:line="360" w:lineRule="auto"/>
        <w:ind w:firstLine="420" w:firstLineChars="0"/>
        <w:rPr>
          <w:rFonts w:hint="eastAsia" w:ascii="仿宋" w:hAnsi="仿宋" w:eastAsia="仿宋"/>
          <w:sz w:val="24"/>
          <w:szCs w:val="24"/>
        </w:rPr>
      </w:pPr>
      <w:bookmarkStart w:id="3" w:name="_GoBack"/>
      <w:bookmarkEnd w:id="3"/>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231E1B"/>
    <w:multiLevelType w:val="multilevel"/>
    <w:tmpl w:val="23231E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E5276E1"/>
    <w:multiLevelType w:val="multilevel"/>
    <w:tmpl w:val="7E5276E1"/>
    <w:lvl w:ilvl="0" w:tentative="0">
      <w:start w:val="1"/>
      <w:numFmt w:val="japaneseCounting"/>
      <w:lvlText w:val="%1、"/>
      <w:lvlJc w:val="left"/>
      <w:pPr>
        <w:ind w:left="720" w:hanging="720"/>
      </w:pPr>
      <w:rPr>
        <w:rFonts w:hint="default"/>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1OGZjNjQ2NDFlNjk5YmJhNzRiNjUyZGE4MjQyNmIifQ=="/>
  </w:docVars>
  <w:rsids>
    <w:rsidRoot w:val="1905659E"/>
    <w:rsid w:val="00032CEC"/>
    <w:rsid w:val="00040B4E"/>
    <w:rsid w:val="00085AC0"/>
    <w:rsid w:val="0009299A"/>
    <w:rsid w:val="00093657"/>
    <w:rsid w:val="000F7575"/>
    <w:rsid w:val="00150C1A"/>
    <w:rsid w:val="00165D81"/>
    <w:rsid w:val="0018790B"/>
    <w:rsid w:val="0019411E"/>
    <w:rsid w:val="001D009C"/>
    <w:rsid w:val="001D32CE"/>
    <w:rsid w:val="001D6DE2"/>
    <w:rsid w:val="001F3117"/>
    <w:rsid w:val="002022A4"/>
    <w:rsid w:val="00211275"/>
    <w:rsid w:val="0023413F"/>
    <w:rsid w:val="00235C56"/>
    <w:rsid w:val="00285A61"/>
    <w:rsid w:val="002F1AF0"/>
    <w:rsid w:val="002F5528"/>
    <w:rsid w:val="00343F2D"/>
    <w:rsid w:val="00345706"/>
    <w:rsid w:val="00350AFF"/>
    <w:rsid w:val="003564A7"/>
    <w:rsid w:val="003600F6"/>
    <w:rsid w:val="00376F04"/>
    <w:rsid w:val="003A3882"/>
    <w:rsid w:val="003A604E"/>
    <w:rsid w:val="003C3503"/>
    <w:rsid w:val="003D317A"/>
    <w:rsid w:val="003E0825"/>
    <w:rsid w:val="003E2BB7"/>
    <w:rsid w:val="003F3875"/>
    <w:rsid w:val="003F7291"/>
    <w:rsid w:val="0041536B"/>
    <w:rsid w:val="004208CA"/>
    <w:rsid w:val="00522607"/>
    <w:rsid w:val="005475F8"/>
    <w:rsid w:val="00582095"/>
    <w:rsid w:val="005D6906"/>
    <w:rsid w:val="005E3F90"/>
    <w:rsid w:val="00630B45"/>
    <w:rsid w:val="00634778"/>
    <w:rsid w:val="006701F7"/>
    <w:rsid w:val="006A0993"/>
    <w:rsid w:val="006B38CA"/>
    <w:rsid w:val="006D4AED"/>
    <w:rsid w:val="006F0423"/>
    <w:rsid w:val="006F6D76"/>
    <w:rsid w:val="007031ED"/>
    <w:rsid w:val="007B6B62"/>
    <w:rsid w:val="007E21CB"/>
    <w:rsid w:val="007E74BB"/>
    <w:rsid w:val="0080033B"/>
    <w:rsid w:val="00802BDE"/>
    <w:rsid w:val="008130EA"/>
    <w:rsid w:val="00834874"/>
    <w:rsid w:val="00835D19"/>
    <w:rsid w:val="00860B7D"/>
    <w:rsid w:val="008640D6"/>
    <w:rsid w:val="00924C8C"/>
    <w:rsid w:val="00926C41"/>
    <w:rsid w:val="00927960"/>
    <w:rsid w:val="00946CDD"/>
    <w:rsid w:val="009516BE"/>
    <w:rsid w:val="00951F6A"/>
    <w:rsid w:val="00957D7D"/>
    <w:rsid w:val="00991FDB"/>
    <w:rsid w:val="009A7866"/>
    <w:rsid w:val="009A7B65"/>
    <w:rsid w:val="00A02D0C"/>
    <w:rsid w:val="00A23144"/>
    <w:rsid w:val="00A31885"/>
    <w:rsid w:val="00A666FD"/>
    <w:rsid w:val="00AA1516"/>
    <w:rsid w:val="00AF3348"/>
    <w:rsid w:val="00B00E55"/>
    <w:rsid w:val="00B26184"/>
    <w:rsid w:val="00B675A1"/>
    <w:rsid w:val="00B81477"/>
    <w:rsid w:val="00BB7F9B"/>
    <w:rsid w:val="00BE5078"/>
    <w:rsid w:val="00C04A2E"/>
    <w:rsid w:val="00C14E45"/>
    <w:rsid w:val="00C641F7"/>
    <w:rsid w:val="00C855EF"/>
    <w:rsid w:val="00CA7533"/>
    <w:rsid w:val="00D4133A"/>
    <w:rsid w:val="00D81461"/>
    <w:rsid w:val="00DC1E9C"/>
    <w:rsid w:val="00DD2DCF"/>
    <w:rsid w:val="00DD374D"/>
    <w:rsid w:val="00E661C6"/>
    <w:rsid w:val="00E830B1"/>
    <w:rsid w:val="00EB2BAE"/>
    <w:rsid w:val="00EC501E"/>
    <w:rsid w:val="00EF064E"/>
    <w:rsid w:val="00F01CD5"/>
    <w:rsid w:val="00F22CB1"/>
    <w:rsid w:val="00F277C3"/>
    <w:rsid w:val="00F45F98"/>
    <w:rsid w:val="00F65D04"/>
    <w:rsid w:val="00F7361B"/>
    <w:rsid w:val="00F76391"/>
    <w:rsid w:val="00F95553"/>
    <w:rsid w:val="00F96DF0"/>
    <w:rsid w:val="01AF7DBD"/>
    <w:rsid w:val="01C408D7"/>
    <w:rsid w:val="02EF50E6"/>
    <w:rsid w:val="03CA4B0F"/>
    <w:rsid w:val="08CE56E4"/>
    <w:rsid w:val="0FC23546"/>
    <w:rsid w:val="11CD6DDD"/>
    <w:rsid w:val="1598234A"/>
    <w:rsid w:val="15D91A84"/>
    <w:rsid w:val="1905659E"/>
    <w:rsid w:val="1AC765D0"/>
    <w:rsid w:val="1DA86417"/>
    <w:rsid w:val="285E661A"/>
    <w:rsid w:val="38FD54F2"/>
    <w:rsid w:val="39395380"/>
    <w:rsid w:val="42C46C31"/>
    <w:rsid w:val="44E40258"/>
    <w:rsid w:val="45696974"/>
    <w:rsid w:val="4AD23C9C"/>
    <w:rsid w:val="543C0C79"/>
    <w:rsid w:val="569F50AB"/>
    <w:rsid w:val="5D1A5529"/>
    <w:rsid w:val="5D8F72E6"/>
    <w:rsid w:val="6C6770F0"/>
    <w:rsid w:val="70812DB8"/>
    <w:rsid w:val="7E751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link w:val="16"/>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新正文"/>
    <w:basedOn w:val="3"/>
    <w:qFormat/>
    <w:uiPriority w:val="0"/>
    <w:pPr>
      <w:ind w:firstLine="200" w:firstLineChars="200"/>
    </w:pPr>
    <w:rPr>
      <w:rFonts w:ascii="仿宋_GB2312" w:eastAsia="仿宋_GB2312"/>
      <w:sz w:val="32"/>
    </w:rPr>
  </w:style>
  <w:style w:type="paragraph" w:styleId="3">
    <w:name w:val="Plain Text"/>
    <w:basedOn w:val="1"/>
    <w:qFormat/>
    <w:uiPriority w:val="0"/>
    <w:rPr>
      <w:rFonts w:ascii="宋体" w:hAnsi="Courier New"/>
      <w:szCs w:val="20"/>
    </w:rPr>
  </w:style>
  <w:style w:type="paragraph" w:styleId="5">
    <w:name w:val="annotation text"/>
    <w:basedOn w:val="1"/>
    <w:link w:val="17"/>
    <w:qFormat/>
    <w:uiPriority w:val="0"/>
    <w:pPr>
      <w:jc w:val="left"/>
    </w:pPr>
  </w:style>
  <w:style w:type="paragraph" w:styleId="6">
    <w:name w:val="Balloon Text"/>
    <w:basedOn w:val="1"/>
    <w:link w:val="19"/>
    <w:semiHidden/>
    <w:unhideWhenUsed/>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annotation subject"/>
    <w:basedOn w:val="5"/>
    <w:next w:val="5"/>
    <w:link w:val="18"/>
    <w:semiHidden/>
    <w:unhideWhenUsed/>
    <w:qFormat/>
    <w:uiPriority w:val="0"/>
    <w:rPr>
      <w:b/>
      <w:bCs/>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character" w:styleId="14">
    <w:name w:val="annotation reference"/>
    <w:basedOn w:val="12"/>
    <w:qFormat/>
    <w:uiPriority w:val="0"/>
    <w:rPr>
      <w:sz w:val="21"/>
      <w:szCs w:val="21"/>
    </w:rPr>
  </w:style>
  <w:style w:type="paragraph" w:styleId="15">
    <w:name w:val="List Paragraph"/>
    <w:basedOn w:val="1"/>
    <w:qFormat/>
    <w:uiPriority w:val="99"/>
    <w:pPr>
      <w:ind w:firstLine="420" w:firstLineChars="200"/>
    </w:pPr>
  </w:style>
  <w:style w:type="character" w:customStyle="1" w:styleId="16">
    <w:name w:val="标题 2 字符"/>
    <w:basedOn w:val="12"/>
    <w:link w:val="4"/>
    <w:semiHidden/>
    <w:qFormat/>
    <w:uiPriority w:val="0"/>
    <w:rPr>
      <w:rFonts w:asciiTheme="majorHAnsi" w:hAnsiTheme="majorHAnsi" w:eastAsiaTheme="majorEastAsia" w:cstheme="majorBidi"/>
      <w:b/>
      <w:bCs/>
      <w:kern w:val="2"/>
      <w:sz w:val="32"/>
      <w:szCs w:val="32"/>
    </w:rPr>
  </w:style>
  <w:style w:type="character" w:customStyle="1" w:styleId="17">
    <w:name w:val="批注文字 字符"/>
    <w:basedOn w:val="12"/>
    <w:link w:val="5"/>
    <w:qFormat/>
    <w:uiPriority w:val="0"/>
    <w:rPr>
      <w:rFonts w:ascii="Calibri" w:hAnsi="Calibri" w:eastAsia="宋体" w:cs="Times New Roman"/>
      <w:kern w:val="2"/>
      <w:sz w:val="21"/>
      <w:szCs w:val="24"/>
    </w:rPr>
  </w:style>
  <w:style w:type="character" w:customStyle="1" w:styleId="18">
    <w:name w:val="批注主题 字符"/>
    <w:basedOn w:val="17"/>
    <w:link w:val="9"/>
    <w:semiHidden/>
    <w:qFormat/>
    <w:uiPriority w:val="0"/>
    <w:rPr>
      <w:rFonts w:ascii="Calibri" w:hAnsi="Calibri" w:eastAsia="宋体" w:cs="Times New Roman"/>
      <w:b/>
      <w:bCs/>
      <w:kern w:val="2"/>
      <w:sz w:val="21"/>
      <w:szCs w:val="24"/>
    </w:rPr>
  </w:style>
  <w:style w:type="character" w:customStyle="1" w:styleId="19">
    <w:name w:val="批注框文本 字符"/>
    <w:basedOn w:val="12"/>
    <w:link w:val="6"/>
    <w:semiHidden/>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1460</Words>
  <Characters>8326</Characters>
  <Lines>69</Lines>
  <Paragraphs>19</Paragraphs>
  <TotalTime>17</TotalTime>
  <ScaleCrop>false</ScaleCrop>
  <LinksUpToDate>false</LinksUpToDate>
  <CharactersWithSpaces>9767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2023-07-20T09:16:00Z</dcterms:created>
  <dc:creator>AQIULL</dc:creator>
  <cp:lastModifiedBy>鸥</cp:lastModifiedBy>
  <dcterms:modified xsi:type="dcterms:W3CDTF">2023-07-20T09:49:32Z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64557F0A80EA49F0A77C8C8784226152</vt:lpwstr>
  </property>
</Properties>
</file>