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p>
    <w:tbl>
      <w:tblPr>
        <w:tblStyle w:val="18"/>
        <w:tblW w:w="0" w:type="auto"/>
        <w:jc w:val="center"/>
        <w:tblLayout w:type="autofit"/>
        <w:tblCellMar>
          <w:top w:w="0" w:type="dxa"/>
          <w:left w:w="108" w:type="dxa"/>
          <w:bottom w:w="0" w:type="dxa"/>
          <w:right w:w="108" w:type="dxa"/>
        </w:tblCellMar>
      </w:tblPr>
      <w:tblGrid>
        <w:gridCol w:w="8280"/>
      </w:tblGrid>
      <w:tr>
        <w:tblPrEx>
          <w:tblCellMar>
            <w:top w:w="0" w:type="dxa"/>
            <w:left w:w="108" w:type="dxa"/>
            <w:bottom w:w="0" w:type="dxa"/>
            <w:right w:w="108" w:type="dxa"/>
          </w:tblCellMar>
        </w:tblPrEx>
        <w:trPr>
          <w:trHeight w:val="1713" w:hRule="atLeast"/>
          <w:jc w:val="center"/>
        </w:trPr>
        <w:tc>
          <w:tcPr>
            <w:tcW w:w="8280" w:type="dxa"/>
          </w:tcPr>
          <w:p>
            <w:pPr>
              <w:jc w:val="center"/>
            </w:pPr>
          </w:p>
        </w:tc>
      </w:tr>
      <w:tr>
        <w:tblPrEx>
          <w:tblCellMar>
            <w:top w:w="0" w:type="dxa"/>
            <w:left w:w="108" w:type="dxa"/>
            <w:bottom w:w="0" w:type="dxa"/>
            <w:right w:w="108" w:type="dxa"/>
          </w:tblCellMar>
        </w:tblPrEx>
        <w:trPr>
          <w:trHeight w:val="2018" w:hRule="atLeast"/>
          <w:jc w:val="center"/>
        </w:trPr>
        <w:tc>
          <w:tcPr>
            <w:tcW w:w="8280" w:type="dxa"/>
          </w:tcPr>
          <w:p>
            <w:pPr>
              <w:jc w:val="center"/>
              <w:rPr>
                <w:rFonts w:eastAsia="黑体"/>
                <w:b/>
                <w:bCs/>
                <w:sz w:val="48"/>
                <w:szCs w:val="48"/>
              </w:rPr>
            </w:pPr>
            <w:r>
              <w:rPr>
                <w:rFonts w:ascii="Times New Roman" w:hAnsi="Times New Roman" w:eastAsia="黑体"/>
                <w:b/>
                <w:color w:val="FF0000"/>
                <w:sz w:val="48"/>
                <w:szCs w:val="48"/>
              </w:rPr>
              <w:t>2023</w:t>
            </w:r>
            <w:r>
              <w:rPr>
                <w:rFonts w:hint="eastAsia" w:eastAsia="黑体"/>
                <w:b/>
                <w:bCs/>
                <w:sz w:val="48"/>
                <w:szCs w:val="48"/>
              </w:rPr>
              <w:t>级生物工程（酿造与蒸馏）</w:t>
            </w:r>
          </w:p>
          <w:p>
            <w:pPr>
              <w:jc w:val="center"/>
              <w:rPr>
                <w:rFonts w:eastAsia="黑体"/>
                <w:b/>
                <w:sz w:val="48"/>
                <w:szCs w:val="48"/>
              </w:rPr>
            </w:pPr>
          </w:p>
        </w:tc>
      </w:tr>
      <w:tr>
        <w:tblPrEx>
          <w:tblCellMar>
            <w:top w:w="0" w:type="dxa"/>
            <w:left w:w="108" w:type="dxa"/>
            <w:bottom w:w="0" w:type="dxa"/>
            <w:right w:w="108" w:type="dxa"/>
          </w:tblCellMar>
        </w:tblPrEx>
        <w:trPr>
          <w:trHeight w:val="1232" w:hRule="atLeast"/>
          <w:jc w:val="center"/>
        </w:trPr>
        <w:tc>
          <w:tcPr>
            <w:tcW w:w="8280" w:type="dxa"/>
          </w:tcPr>
          <w:p>
            <w:pPr>
              <w:jc w:val="center"/>
              <w:rPr>
                <w:rFonts w:eastAsia="黑体"/>
                <w:b/>
                <w:sz w:val="44"/>
                <w:szCs w:val="44"/>
              </w:rPr>
            </w:pPr>
            <w:r>
              <w:rPr>
                <w:rFonts w:hint="eastAsia" w:eastAsia="黑体"/>
                <w:b/>
                <w:sz w:val="44"/>
                <w:szCs w:val="44"/>
              </w:rPr>
              <w:t>本科专业培养方案</w:t>
            </w:r>
          </w:p>
        </w:tc>
      </w:tr>
      <w:tr>
        <w:tblPrEx>
          <w:tblCellMar>
            <w:top w:w="0" w:type="dxa"/>
            <w:left w:w="108" w:type="dxa"/>
            <w:bottom w:w="0" w:type="dxa"/>
            <w:right w:w="108" w:type="dxa"/>
          </w:tblCellMar>
        </w:tblPrEx>
        <w:trPr>
          <w:trHeight w:val="6167" w:hRule="atLeast"/>
          <w:jc w:val="center"/>
        </w:trPr>
        <w:tc>
          <w:tcPr>
            <w:tcW w:w="8280" w:type="dxa"/>
          </w:tcPr>
          <w:p>
            <w:r>
              <w:drawing>
                <wp:anchor distT="0" distB="0" distL="114300" distR="114300" simplePos="0" relativeHeight="251659264" behindDoc="0" locked="0" layoutInCell="1" allowOverlap="1">
                  <wp:simplePos x="0" y="0"/>
                  <wp:positionH relativeFrom="column">
                    <wp:posOffset>1467485</wp:posOffset>
                  </wp:positionH>
                  <wp:positionV relativeFrom="paragraph">
                    <wp:posOffset>603250</wp:posOffset>
                  </wp:positionV>
                  <wp:extent cx="2185035" cy="2185035"/>
                  <wp:effectExtent l="0" t="0" r="5715" b="5715"/>
                  <wp:wrapSquare wrapText="bothSides"/>
                  <wp:docPr id="4" name="图片 4" descr="校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校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185035" cy="2185035"/>
                          </a:xfrm>
                          <a:prstGeom prst="rect">
                            <a:avLst/>
                          </a:prstGeom>
                          <a:noFill/>
                        </pic:spPr>
                      </pic:pic>
                    </a:graphicData>
                  </a:graphic>
                </wp:anchor>
              </w:drawing>
            </w:r>
          </w:p>
        </w:tc>
      </w:tr>
      <w:tr>
        <w:tblPrEx>
          <w:tblCellMar>
            <w:top w:w="0" w:type="dxa"/>
            <w:left w:w="108" w:type="dxa"/>
            <w:bottom w:w="0" w:type="dxa"/>
            <w:right w:w="108" w:type="dxa"/>
          </w:tblCellMar>
        </w:tblPrEx>
        <w:trPr>
          <w:trHeight w:val="1699" w:hRule="atLeast"/>
          <w:jc w:val="center"/>
        </w:trPr>
        <w:tc>
          <w:tcPr>
            <w:tcW w:w="8280" w:type="dxa"/>
          </w:tcPr>
          <w:p>
            <w:pPr>
              <w:jc w:val="center"/>
              <w:rPr>
                <w:rFonts w:eastAsia="黑体"/>
                <w:b/>
                <w:sz w:val="32"/>
                <w:szCs w:val="32"/>
              </w:rPr>
            </w:pPr>
            <w:r>
              <w:rPr>
                <w:rFonts w:hint="eastAsia" w:eastAsia="黑体"/>
                <w:b/>
                <w:bCs/>
                <w:sz w:val="32"/>
                <w:szCs w:val="32"/>
              </w:rPr>
              <w:t>生物工程学院</w:t>
            </w:r>
          </w:p>
          <w:p>
            <w:pPr>
              <w:jc w:val="center"/>
              <w:rPr>
                <w:rFonts w:ascii="Times New Roman" w:hAnsi="Times New Roman" w:eastAsia="黑体"/>
                <w:b/>
                <w:sz w:val="32"/>
                <w:szCs w:val="32"/>
              </w:rPr>
            </w:pPr>
            <w:r>
              <w:rPr>
                <w:rFonts w:ascii="Times New Roman" w:hAnsi="Times New Roman" w:eastAsia="黑体"/>
                <w:b/>
                <w:color w:val="FF0000"/>
                <w:sz w:val="32"/>
                <w:szCs w:val="32"/>
              </w:rPr>
              <w:t>2023</w:t>
            </w:r>
            <w:r>
              <w:rPr>
                <w:rFonts w:hint="eastAsia" w:ascii="Times New Roman" w:eastAsia="黑体"/>
                <w:b/>
                <w:sz w:val="32"/>
                <w:szCs w:val="32"/>
              </w:rPr>
              <w:t>年</w:t>
            </w:r>
            <w:r>
              <w:rPr>
                <w:rFonts w:ascii="Times New Roman" w:hAnsi="Times New Roman" w:eastAsia="黑体"/>
                <w:b/>
                <w:sz w:val="32"/>
                <w:szCs w:val="32"/>
              </w:rPr>
              <w:t>7</w:t>
            </w:r>
            <w:r>
              <w:rPr>
                <w:rFonts w:hint="eastAsia" w:ascii="Times New Roman" w:eastAsia="黑体"/>
                <w:b/>
                <w:sz w:val="32"/>
                <w:szCs w:val="32"/>
              </w:rPr>
              <w:t>月</w:t>
            </w:r>
          </w:p>
          <w:p/>
        </w:tc>
      </w:tr>
    </w:tbl>
    <w:p>
      <w:pPr>
        <w:rPr>
          <w:rFonts w:ascii="宋体" w:hAnsi="宋体"/>
          <w:szCs w:val="21"/>
        </w:rPr>
      </w:pPr>
    </w:p>
    <w:p>
      <w:pPr>
        <w:rPr>
          <w:rFonts w:ascii="宋体" w:hAnsi="宋体"/>
          <w:szCs w:val="21"/>
        </w:rPr>
      </w:pPr>
    </w:p>
    <w:p>
      <w:pPr>
        <w:jc w:val="center"/>
      </w:pPr>
      <w:r>
        <w:rPr>
          <w:rFonts w:hint="eastAsia" w:ascii="宋体" w:hAnsi="宋体"/>
          <w:b/>
          <w:bCs/>
          <w:sz w:val="32"/>
          <w:szCs w:val="32"/>
        </w:rPr>
        <w:t>生物工程专业（酿造与蒸馏）培养方案</w:t>
      </w:r>
    </w:p>
    <w:p/>
    <w:p>
      <w:pPr>
        <w:spacing w:line="400" w:lineRule="exact"/>
        <w:rPr>
          <w:rFonts w:ascii="宋体" w:hAnsi="宋体"/>
          <w:b/>
          <w:bCs/>
          <w:sz w:val="24"/>
          <w:szCs w:val="24"/>
        </w:rPr>
      </w:pPr>
      <w:r>
        <w:rPr>
          <w:rFonts w:hint="eastAsia" w:ascii="宋体" w:hAnsi="宋体"/>
          <w:b/>
          <w:bCs/>
          <w:sz w:val="24"/>
          <w:szCs w:val="24"/>
        </w:rPr>
        <w:t>一、培养目标</w:t>
      </w:r>
    </w:p>
    <w:p>
      <w:pPr>
        <w:spacing w:line="400" w:lineRule="exact"/>
        <w:ind w:firstLine="470" w:firstLineChars="196"/>
        <w:rPr>
          <w:sz w:val="24"/>
        </w:rPr>
      </w:pPr>
      <w:r>
        <w:rPr>
          <w:rFonts w:hint="eastAsia"/>
          <w:color w:val="000000" w:themeColor="text1"/>
          <w:sz w:val="24"/>
          <w14:textFill>
            <w14:solidFill>
              <w14:schemeClr w14:val="tx1"/>
            </w14:solidFill>
          </w14:textFill>
        </w:rPr>
        <w:t>围绕“高质量学术型”人才培养目标，结合国内外生物产业经济发展需要和人才需求，培养德、智、体、美、劳全面发展的社会主义事业合格建设者和可靠接班人。本项目与英国赫瑞瓦特大学合作举办，经过两校的联合培养，学生应熟练掌握生物工程专业知识，具备深厚家国情怀、理论基础扎实、实践能力强，拥有广阔国际视野和较强的创新、跨文化交流和终身学习等综合能力。能够解决生物加工过程中复杂工程问题，可以在酿酒、轻工、发酵食品、医药等生物工程领域从事</w:t>
      </w:r>
      <w:bookmarkStart w:id="0" w:name="_Hlk77251772"/>
      <w:r>
        <w:rPr>
          <w:rFonts w:hint="eastAsia"/>
          <w:color w:val="000000" w:themeColor="text1"/>
          <w:sz w:val="24"/>
          <w14:textFill>
            <w14:solidFill>
              <w14:schemeClr w14:val="tx1"/>
            </w14:solidFill>
          </w14:textFill>
        </w:rPr>
        <w:t>生产、设计、管理和新技术研究、新产品开发</w:t>
      </w:r>
      <w:bookmarkEnd w:id="0"/>
      <w:r>
        <w:rPr>
          <w:rFonts w:hint="eastAsia"/>
          <w:color w:val="000000" w:themeColor="text1"/>
          <w:sz w:val="24"/>
          <w14:textFill>
            <w14:solidFill>
              <w14:schemeClr w14:val="tx1"/>
            </w14:solidFill>
          </w14:textFill>
        </w:rPr>
        <w:t>等工的</w:t>
      </w:r>
      <w:r>
        <w:rPr>
          <w:rFonts w:hint="eastAsia"/>
          <w:b/>
          <w:bCs/>
          <w:color w:val="000000" w:themeColor="text1"/>
          <w:sz w:val="24"/>
          <w14:textFill>
            <w14:solidFill>
              <w14:schemeClr w14:val="tx1"/>
            </w14:solidFill>
          </w14:textFill>
        </w:rPr>
        <w:t>高素质国际化</w:t>
      </w:r>
      <w:r>
        <w:rPr>
          <w:rFonts w:hint="eastAsia"/>
          <w:color w:val="000000" w:themeColor="text1"/>
          <w:sz w:val="24"/>
          <w14:textFill>
            <w14:solidFill>
              <w14:schemeClr w14:val="tx1"/>
            </w14:solidFill>
          </w14:textFill>
        </w:rPr>
        <w:t>工程技术人才。</w:t>
      </w:r>
    </w:p>
    <w:p>
      <w:pPr>
        <w:spacing w:line="400" w:lineRule="exact"/>
        <w:ind w:firstLine="470" w:firstLineChars="196"/>
        <w:rPr>
          <w:color w:val="000000" w:themeColor="text1"/>
          <w:sz w:val="24"/>
          <w14:textFill>
            <w14:solidFill>
              <w14:schemeClr w14:val="tx1"/>
            </w14:solidFill>
          </w14:textFill>
        </w:rPr>
      </w:pPr>
      <w:r>
        <w:rPr>
          <w:rFonts w:hint="eastAsia"/>
          <w:color w:val="FF0000"/>
          <w:sz w:val="24"/>
        </w:rPr>
        <w:t xml:space="preserve"> </w:t>
      </w:r>
      <w:r>
        <w:rPr>
          <w:rFonts w:ascii="Times New Roman" w:hAnsi="Times New Roman" w:cs="Times New Roman"/>
          <w:color w:val="000000" w:themeColor="text1"/>
          <w:sz w:val="24"/>
          <w14:textFill>
            <w14:solidFill>
              <w14:schemeClr w14:val="tx1"/>
            </w14:solidFill>
          </w14:textFill>
        </w:rPr>
        <w:t>本专业学生毕业后，经过5年左右的工作实践，预期能够达到：</w:t>
      </w:r>
      <w:r>
        <w:rPr>
          <w:color w:val="000000" w:themeColor="text1"/>
          <w:sz w:val="24"/>
          <w14:textFill>
            <w14:solidFill>
              <w14:schemeClr w14:val="tx1"/>
            </w14:solidFill>
          </w14:textFill>
        </w:rPr>
        <w:t xml:space="preserve"> </w:t>
      </w:r>
    </w:p>
    <w:p>
      <w:pPr>
        <w:spacing w:line="400" w:lineRule="exact"/>
        <w:ind w:firstLine="472" w:firstLineChars="196"/>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目标1：</w:t>
      </w:r>
      <w:r>
        <w:rPr>
          <w:rFonts w:hint="eastAsia"/>
          <w:color w:val="000000" w:themeColor="text1"/>
          <w:sz w:val="24"/>
          <w14:textFill>
            <w14:solidFill>
              <w14:schemeClr w14:val="tx1"/>
            </w14:solidFill>
          </w14:textFill>
        </w:rPr>
        <w:t>具有国际视野、强烈的社会责任感和良好的职业道德修养，能够根据国家和产业发展需求，设计、实施符合法律政策规定、有益于经济、环境和社会发展的生物工程相关项目，并能与业界及社会大众进行有效的沟通交流。（综合素质）</w:t>
      </w:r>
    </w:p>
    <w:p>
      <w:pPr>
        <w:spacing w:line="380" w:lineRule="exact"/>
        <w:ind w:firstLine="472" w:firstLineChars="196"/>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目标2：</w:t>
      </w:r>
      <w:r>
        <w:rPr>
          <w:rFonts w:hint="eastAsia"/>
          <w:color w:val="000000" w:themeColor="text1"/>
          <w:sz w:val="24"/>
          <w14:textFill>
            <w14:solidFill>
              <w14:schemeClr w14:val="tx1"/>
            </w14:solidFill>
          </w14:textFill>
        </w:rPr>
        <w:t>能够适应独立和团队工作环境，适应企业与科研多元文化环境，运用所学理论知识与实践技能，在生物工程领域中发现、分析并解决实际问题。（工程能力）</w:t>
      </w:r>
    </w:p>
    <w:p>
      <w:pPr>
        <w:spacing w:line="380" w:lineRule="exact"/>
        <w:ind w:firstLine="472" w:firstLineChars="196"/>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目标3：</w:t>
      </w:r>
      <w:r>
        <w:rPr>
          <w:rFonts w:hint="eastAsia"/>
          <w:color w:val="000000" w:themeColor="text1"/>
          <w:sz w:val="24"/>
          <w14:textFill>
            <w14:solidFill>
              <w14:schemeClr w14:val="tx1"/>
            </w14:solidFill>
          </w14:textFill>
        </w:rPr>
        <w:t>具备对生物工程前沿领域新机理、新产品、新工艺、新技术和新装备进行研究、开发的创新思维与实践能力。（专业知识）</w:t>
      </w:r>
    </w:p>
    <w:p>
      <w:pPr>
        <w:spacing w:line="380" w:lineRule="exact"/>
        <w:ind w:firstLine="472" w:firstLineChars="196"/>
        <w:rPr>
          <w:color w:val="000000" w:themeColor="text1"/>
          <w:sz w:val="24"/>
          <w14:textFill>
            <w14:solidFill>
              <w14:schemeClr w14:val="tx1"/>
            </w14:solidFill>
          </w14:textFill>
        </w:rPr>
      </w:pPr>
      <w:r>
        <w:rPr>
          <w:rFonts w:hint="eastAsia"/>
          <w:b/>
          <w:bCs/>
          <w:color w:val="000000" w:themeColor="text1"/>
          <w:sz w:val="24"/>
          <w14:textFill>
            <w14:solidFill>
              <w14:schemeClr w14:val="tx1"/>
            </w14:solidFill>
          </w14:textFill>
        </w:rPr>
        <w:t>目标4：</w:t>
      </w:r>
      <w:r>
        <w:rPr>
          <w:rFonts w:hint="eastAsia"/>
          <w:color w:val="000000" w:themeColor="text1"/>
          <w:sz w:val="24"/>
          <w14:textFill>
            <w14:solidFill>
              <w14:schemeClr w14:val="tx1"/>
            </w14:solidFill>
          </w14:textFill>
        </w:rPr>
        <w:t>能够通过继续教育或其它途径进行终身学习，拓展自己的知识和能力，适应职业发展和国际产业环境变化，保持职业竞争力。（职业成就）</w:t>
      </w:r>
    </w:p>
    <w:p>
      <w:pPr>
        <w:spacing w:line="400" w:lineRule="exact"/>
        <w:rPr>
          <w:rFonts w:ascii="宋体" w:hAnsi="宋体"/>
          <w:b/>
          <w:bCs/>
          <w:sz w:val="24"/>
          <w:szCs w:val="24"/>
        </w:rPr>
      </w:pPr>
      <w:r>
        <w:rPr>
          <w:rFonts w:hint="eastAsia" w:ascii="宋体" w:hAnsi="宋体"/>
          <w:b/>
          <w:bCs/>
          <w:sz w:val="24"/>
          <w:szCs w:val="24"/>
        </w:rPr>
        <w:t>二、毕业要求</w:t>
      </w:r>
    </w:p>
    <w:p>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本专业毕业生应满足如下在知识、能力和素质等方面的要求：</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1</w:t>
      </w:r>
      <w:r>
        <w:rPr>
          <w:rFonts w:ascii="宋体" w:hAnsi="宋体"/>
          <w:b/>
          <w:bCs/>
          <w:spacing w:val="-6"/>
          <w:sz w:val="24"/>
          <w:szCs w:val="24"/>
        </w:rPr>
        <w:t>.</w:t>
      </w:r>
      <w:r>
        <w:rPr>
          <w:rFonts w:hint="eastAsia" w:ascii="宋体" w:hAnsi="宋体"/>
          <w:b/>
          <w:bCs/>
          <w:spacing w:val="-6"/>
          <w:sz w:val="24"/>
          <w:szCs w:val="24"/>
        </w:rPr>
        <w:t>工程知识：</w:t>
      </w:r>
      <w:r>
        <w:rPr>
          <w:rFonts w:hint="eastAsia"/>
          <w:sz w:val="24"/>
        </w:rPr>
        <w:t>掌握解决生物加工过程问题的数学、自然科学、工程科学和生物工程专业知识；</w:t>
      </w:r>
      <w:r>
        <w:rPr>
          <w:sz w:val="24"/>
        </w:rPr>
        <w:t>能够将数学、自然科学、工程</w:t>
      </w:r>
      <w:r>
        <w:rPr>
          <w:rFonts w:hint="eastAsia"/>
          <w:sz w:val="24"/>
        </w:rPr>
        <w:t>科学</w:t>
      </w:r>
      <w:r>
        <w:rPr>
          <w:sz w:val="24"/>
        </w:rPr>
        <w:t>和生物工程专业知识用于解决生物工程领域复杂工程问题。</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2</w:t>
      </w:r>
      <w:r>
        <w:rPr>
          <w:rFonts w:ascii="宋体" w:hAnsi="宋体"/>
          <w:b/>
          <w:bCs/>
          <w:spacing w:val="-6"/>
          <w:sz w:val="24"/>
          <w:szCs w:val="24"/>
        </w:rPr>
        <w:t>.</w:t>
      </w:r>
      <w:r>
        <w:rPr>
          <w:rFonts w:hint="eastAsia" w:ascii="宋体" w:hAnsi="宋体"/>
          <w:b/>
          <w:bCs/>
          <w:spacing w:val="-6"/>
          <w:sz w:val="24"/>
          <w:szCs w:val="24"/>
        </w:rPr>
        <w:t>问题分析：</w:t>
      </w:r>
      <w:r>
        <w:rPr>
          <w:sz w:val="24"/>
        </w:rPr>
        <w:t>能够应用数学、自然科学和工程科学的基本原理，并结合文献研究，识别、表达和分析</w:t>
      </w:r>
      <w:r>
        <w:rPr>
          <w:rFonts w:hint="eastAsia"/>
          <w:sz w:val="24"/>
        </w:rPr>
        <w:t>生物工程中</w:t>
      </w:r>
      <w:r>
        <w:rPr>
          <w:sz w:val="24"/>
        </w:rPr>
        <w:t>复杂问题，以获得有效的</w:t>
      </w:r>
      <w:r>
        <w:rPr>
          <w:rFonts w:hint="eastAsia"/>
          <w:sz w:val="24"/>
        </w:rPr>
        <w:t>解决办法</w:t>
      </w:r>
      <w:r>
        <w:rPr>
          <w:sz w:val="24"/>
        </w:rPr>
        <w:t>。</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3</w:t>
      </w:r>
      <w:r>
        <w:rPr>
          <w:rFonts w:ascii="宋体" w:hAnsi="宋体"/>
          <w:b/>
          <w:bCs/>
          <w:spacing w:val="-6"/>
          <w:sz w:val="24"/>
          <w:szCs w:val="24"/>
        </w:rPr>
        <w:t>.</w:t>
      </w:r>
      <w:r>
        <w:rPr>
          <w:rFonts w:hint="eastAsia" w:ascii="宋体" w:hAnsi="宋体"/>
          <w:b/>
          <w:bCs/>
          <w:spacing w:val="-6"/>
          <w:sz w:val="24"/>
          <w:szCs w:val="24"/>
        </w:rPr>
        <w:t>设计/开发解决方案：</w:t>
      </w:r>
      <w:r>
        <w:rPr>
          <w:sz w:val="24"/>
        </w:rPr>
        <w:t>能够设计针对生物工程领域复杂工程问题的解决方案，设计满足特定需求的系统、单元（部件）或工艺流程，并能够在设计环节中体现创新意识，考虑社会、健康、安全、法律、文化以及环境等因素。</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4</w:t>
      </w:r>
      <w:r>
        <w:rPr>
          <w:rFonts w:ascii="宋体" w:hAnsi="宋体"/>
          <w:b/>
          <w:bCs/>
          <w:spacing w:val="-6"/>
          <w:sz w:val="24"/>
          <w:szCs w:val="24"/>
        </w:rPr>
        <w:t>.</w:t>
      </w:r>
      <w:r>
        <w:rPr>
          <w:rFonts w:hint="eastAsia" w:ascii="宋体" w:hAnsi="宋体"/>
          <w:b/>
          <w:bCs/>
          <w:spacing w:val="-6"/>
          <w:sz w:val="24"/>
          <w:szCs w:val="24"/>
        </w:rPr>
        <w:t>研究：</w:t>
      </w:r>
      <w:r>
        <w:rPr>
          <w:sz w:val="24"/>
        </w:rPr>
        <w:t>能够基于科学原理并采用科学方法对生物工程领域复杂工程问题进行研究，包括设计实验、分析与解释数据、并通过信息综合得到合理有效的结论。</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5</w:t>
      </w:r>
      <w:r>
        <w:rPr>
          <w:rFonts w:ascii="宋体" w:hAnsi="宋体"/>
          <w:b/>
          <w:bCs/>
          <w:spacing w:val="-6"/>
          <w:sz w:val="24"/>
          <w:szCs w:val="24"/>
        </w:rPr>
        <w:t>.</w:t>
      </w:r>
      <w:r>
        <w:rPr>
          <w:rFonts w:hint="eastAsia" w:ascii="宋体" w:hAnsi="宋体"/>
          <w:b/>
          <w:bCs/>
          <w:spacing w:val="-6"/>
          <w:sz w:val="24"/>
          <w:szCs w:val="24"/>
        </w:rPr>
        <w:t>使用现代工具：</w:t>
      </w:r>
      <w:r>
        <w:rPr>
          <w:sz w:val="24"/>
        </w:rPr>
        <w:t>能够针对生物工程领域复杂工程问题，开发、选择与使用恰当的技术、资源、现代工程工具和信息技术工具</w:t>
      </w:r>
      <w:r>
        <w:rPr>
          <w:rFonts w:hint="eastAsia"/>
          <w:sz w:val="24"/>
        </w:rPr>
        <w:t>来解决上述问题</w:t>
      </w:r>
      <w:r>
        <w:rPr>
          <w:sz w:val="24"/>
        </w:rPr>
        <w:t>，包括对生物工程领域复杂工程问题的预测与模拟，并能够理解其局限性。</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6</w:t>
      </w:r>
      <w:r>
        <w:rPr>
          <w:rFonts w:ascii="宋体" w:hAnsi="宋体"/>
          <w:b/>
          <w:bCs/>
          <w:spacing w:val="-6"/>
          <w:sz w:val="24"/>
          <w:szCs w:val="24"/>
        </w:rPr>
        <w:t>.</w:t>
      </w:r>
      <w:r>
        <w:rPr>
          <w:rFonts w:hint="eastAsia" w:ascii="宋体" w:hAnsi="宋体"/>
          <w:b/>
          <w:bCs/>
          <w:spacing w:val="-6"/>
          <w:sz w:val="24"/>
          <w:szCs w:val="24"/>
        </w:rPr>
        <w:t>工程与社会：</w:t>
      </w:r>
      <w:r>
        <w:rPr>
          <w:sz w:val="24"/>
        </w:rPr>
        <w:t>能够基于工程相关背景知识进行合理分析，评价生物工程实践和复杂工程问题解决方案对社会、健康、安全、法律以及文化的影响，并理解应承担的责任。</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7</w:t>
      </w:r>
      <w:r>
        <w:rPr>
          <w:rFonts w:ascii="宋体" w:hAnsi="宋体"/>
          <w:b/>
          <w:bCs/>
          <w:spacing w:val="-6"/>
          <w:sz w:val="24"/>
          <w:szCs w:val="24"/>
        </w:rPr>
        <w:t>.</w:t>
      </w:r>
      <w:r>
        <w:rPr>
          <w:rFonts w:hint="eastAsia" w:ascii="宋体" w:hAnsi="宋体"/>
          <w:b/>
          <w:bCs/>
          <w:spacing w:val="-6"/>
          <w:sz w:val="24"/>
          <w:szCs w:val="24"/>
        </w:rPr>
        <w:t>环境和可持续发展：</w:t>
      </w:r>
      <w:r>
        <w:rPr>
          <w:sz w:val="24"/>
        </w:rPr>
        <w:t>能够理解和评价针对生物工程领域复杂工程问题的工程实践对环境、社会可持续发展的影响。</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8</w:t>
      </w:r>
      <w:r>
        <w:rPr>
          <w:rFonts w:ascii="宋体" w:hAnsi="宋体"/>
          <w:b/>
          <w:bCs/>
          <w:spacing w:val="-6"/>
          <w:sz w:val="24"/>
          <w:szCs w:val="24"/>
        </w:rPr>
        <w:t>.</w:t>
      </w:r>
      <w:r>
        <w:rPr>
          <w:rFonts w:hint="eastAsia" w:ascii="宋体" w:hAnsi="宋体"/>
          <w:b/>
          <w:bCs/>
          <w:spacing w:val="-6"/>
          <w:sz w:val="24"/>
          <w:szCs w:val="24"/>
        </w:rPr>
        <w:t>职业规范：</w:t>
      </w:r>
      <w:r>
        <w:rPr>
          <w:sz w:val="24"/>
        </w:rPr>
        <w:t>具有人文社会科学素养、社会责任感，能够在</w:t>
      </w:r>
      <w:r>
        <w:rPr>
          <w:rFonts w:hint="eastAsia"/>
          <w:sz w:val="24"/>
        </w:rPr>
        <w:t>生物</w:t>
      </w:r>
      <w:r>
        <w:rPr>
          <w:sz w:val="24"/>
        </w:rPr>
        <w:t>工程实践中理解并遵守工程职业道德和规范，履行责任。</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9</w:t>
      </w:r>
      <w:r>
        <w:rPr>
          <w:rFonts w:ascii="宋体" w:hAnsi="宋体"/>
          <w:b/>
          <w:bCs/>
          <w:spacing w:val="-6"/>
          <w:sz w:val="24"/>
          <w:szCs w:val="24"/>
        </w:rPr>
        <w:t>.</w:t>
      </w:r>
      <w:r>
        <w:rPr>
          <w:rFonts w:hint="eastAsia" w:ascii="宋体" w:hAnsi="宋体"/>
          <w:b/>
          <w:bCs/>
          <w:spacing w:val="-6"/>
          <w:sz w:val="24"/>
          <w:szCs w:val="24"/>
        </w:rPr>
        <w:t>个人和团队：</w:t>
      </w:r>
      <w:r>
        <w:rPr>
          <w:sz w:val="24"/>
        </w:rPr>
        <w:t>能够在多学科背景下的团队中承担个体、团队成员以及负责人的角色。</w:t>
      </w:r>
    </w:p>
    <w:p>
      <w:pPr>
        <w:spacing w:line="400" w:lineRule="exact"/>
        <w:ind w:firstLine="458" w:firstLineChars="200"/>
        <w:rPr>
          <w:rFonts w:ascii="宋体" w:hAnsi="宋体"/>
          <w:spacing w:val="-6"/>
          <w:sz w:val="24"/>
          <w:szCs w:val="24"/>
        </w:rPr>
      </w:pPr>
      <w:r>
        <w:rPr>
          <w:rFonts w:ascii="宋体" w:hAnsi="宋体"/>
          <w:b/>
          <w:bCs/>
          <w:spacing w:val="-6"/>
          <w:sz w:val="24"/>
          <w:szCs w:val="24"/>
        </w:rPr>
        <w:t>10.</w:t>
      </w:r>
      <w:r>
        <w:rPr>
          <w:rFonts w:hint="eastAsia" w:ascii="宋体" w:hAnsi="宋体"/>
          <w:b/>
          <w:bCs/>
          <w:spacing w:val="-6"/>
          <w:sz w:val="24"/>
          <w:szCs w:val="24"/>
        </w:rPr>
        <w:t>沟通：</w:t>
      </w:r>
      <w:r>
        <w:rPr>
          <w:sz w:val="24"/>
        </w:rPr>
        <w:t>能够就生物工程</w:t>
      </w:r>
      <w:r>
        <w:rPr>
          <w:rFonts w:hint="eastAsia"/>
          <w:sz w:val="24"/>
        </w:rPr>
        <w:t>领域</w:t>
      </w:r>
      <w:r>
        <w:rPr>
          <w:sz w:val="24"/>
        </w:rPr>
        <w:t>问题与业界同行及社会公众进行有效沟通和交流，包括撰写报告和设计文稿、陈述发言、清晰表达或回应指令，并具备一定的国际视野，能够在跨文化背景下进行沟通和交流。</w:t>
      </w:r>
    </w:p>
    <w:p>
      <w:pPr>
        <w:spacing w:line="400" w:lineRule="exact"/>
        <w:ind w:firstLine="458" w:firstLineChars="200"/>
        <w:rPr>
          <w:rFonts w:ascii="宋体" w:hAnsi="宋体"/>
          <w:spacing w:val="-6"/>
          <w:sz w:val="24"/>
          <w:szCs w:val="24"/>
        </w:rPr>
      </w:pPr>
      <w:r>
        <w:rPr>
          <w:rFonts w:hint="eastAsia" w:ascii="宋体" w:hAnsi="宋体"/>
          <w:b/>
          <w:bCs/>
          <w:spacing w:val="-6"/>
          <w:sz w:val="24"/>
          <w:szCs w:val="24"/>
        </w:rPr>
        <w:t>1</w:t>
      </w:r>
      <w:r>
        <w:rPr>
          <w:rFonts w:ascii="宋体" w:hAnsi="宋体"/>
          <w:b/>
          <w:bCs/>
          <w:spacing w:val="-6"/>
          <w:sz w:val="24"/>
          <w:szCs w:val="24"/>
        </w:rPr>
        <w:t>1.</w:t>
      </w:r>
      <w:r>
        <w:rPr>
          <w:rFonts w:hint="eastAsia" w:ascii="宋体" w:hAnsi="宋体"/>
          <w:b/>
          <w:bCs/>
          <w:spacing w:val="-6"/>
          <w:sz w:val="24"/>
          <w:szCs w:val="24"/>
        </w:rPr>
        <w:t>项目管理：</w:t>
      </w:r>
      <w:r>
        <w:rPr>
          <w:sz w:val="24"/>
        </w:rPr>
        <w:t>理解并掌握</w:t>
      </w:r>
      <w:r>
        <w:rPr>
          <w:rFonts w:hint="eastAsia"/>
          <w:sz w:val="24"/>
        </w:rPr>
        <w:t>生物</w:t>
      </w:r>
      <w:r>
        <w:rPr>
          <w:sz w:val="24"/>
        </w:rPr>
        <w:t>工程专业工程管理原理与经济决策方法，并能在多学科环境中应用。</w:t>
      </w:r>
    </w:p>
    <w:p>
      <w:pPr>
        <w:spacing w:line="400" w:lineRule="exact"/>
        <w:ind w:firstLine="458" w:firstLineChars="200"/>
        <w:rPr>
          <w:rFonts w:ascii="Times New Roman" w:hAnsi="Times New Roman"/>
          <w:sz w:val="24"/>
          <w:szCs w:val="24"/>
        </w:rPr>
      </w:pPr>
      <w:r>
        <w:rPr>
          <w:rFonts w:hint="eastAsia" w:ascii="宋体" w:hAnsi="宋体"/>
          <w:b/>
          <w:bCs/>
          <w:spacing w:val="-6"/>
          <w:sz w:val="24"/>
          <w:szCs w:val="24"/>
        </w:rPr>
        <w:t>1</w:t>
      </w:r>
      <w:r>
        <w:rPr>
          <w:rFonts w:ascii="宋体" w:hAnsi="宋体"/>
          <w:b/>
          <w:bCs/>
          <w:spacing w:val="-6"/>
          <w:sz w:val="24"/>
          <w:szCs w:val="24"/>
        </w:rPr>
        <w:t>2.</w:t>
      </w:r>
      <w:r>
        <w:rPr>
          <w:rFonts w:hint="eastAsia" w:ascii="宋体" w:hAnsi="宋体"/>
          <w:b/>
          <w:bCs/>
          <w:spacing w:val="-6"/>
          <w:sz w:val="24"/>
          <w:szCs w:val="24"/>
        </w:rPr>
        <w:t>终身学习：</w:t>
      </w:r>
      <w:r>
        <w:rPr>
          <w:rFonts w:hint="eastAsia"/>
          <w:sz w:val="24"/>
        </w:rPr>
        <w:t>具有自主学习和终身学习的意识，有不断学习和适应发展的能力。</w:t>
      </w:r>
    </w:p>
    <w:p>
      <w:pPr>
        <w:spacing w:line="400" w:lineRule="exact"/>
      </w:pPr>
    </w:p>
    <w:p>
      <w:pPr>
        <w:adjustRightInd w:val="0"/>
        <w:snapToGrid w:val="0"/>
        <w:spacing w:line="400" w:lineRule="exact"/>
        <w:rPr>
          <w:rFonts w:ascii="Times New Roman" w:hAnsi="Times New Roman" w:eastAsia="宋体"/>
          <w:b/>
          <w:sz w:val="24"/>
          <w:szCs w:val="24"/>
        </w:rPr>
      </w:pPr>
      <w:r>
        <w:rPr>
          <w:rFonts w:hint="eastAsia" w:ascii="Times New Roman" w:hAnsi="Times New Roman" w:eastAsia="宋体"/>
          <w:b/>
          <w:sz w:val="24"/>
          <w:szCs w:val="24"/>
        </w:rPr>
        <w:t>三、</w:t>
      </w:r>
      <w:r>
        <w:rPr>
          <w:rFonts w:ascii="Times New Roman" w:hAnsi="Times New Roman" w:eastAsia="宋体"/>
          <w:b/>
          <w:sz w:val="24"/>
          <w:szCs w:val="24"/>
        </w:rPr>
        <w:t>毕业要求对培养目标的支撑</w:t>
      </w:r>
    </w:p>
    <w:p>
      <w:pPr>
        <w:spacing w:line="400" w:lineRule="exact"/>
        <w:ind w:firstLine="480" w:firstLineChars="200"/>
        <w:rPr>
          <w:rFonts w:ascii="Times New Roman" w:hAnsi="Times New Roman" w:eastAsia="宋体"/>
          <w:sz w:val="24"/>
          <w:szCs w:val="24"/>
        </w:rPr>
      </w:pPr>
      <w:r>
        <w:rPr>
          <w:rFonts w:ascii="Times New Roman" w:hAnsi="Times New Roman" w:eastAsia="宋体"/>
          <w:sz w:val="24"/>
          <w:szCs w:val="24"/>
        </w:rPr>
        <w:t>为保证本专业学生满足知识、能力和素质的达成，本专业设置了完善的课程体系，其中包括理论教学、实验实践教学、实习教学、课程设计、毕业设计/论文、学科竞赛、创新创业训练项目等教学环节。</w:t>
      </w:r>
      <w:r>
        <w:rPr>
          <w:rFonts w:hint="eastAsia" w:ascii="Times New Roman" w:hAnsi="Times New Roman" w:eastAsia="宋体"/>
          <w:sz w:val="24"/>
          <w:szCs w:val="24"/>
        </w:rPr>
        <w:t>毕业要求对培养目标的支撑见下表。</w:t>
      </w:r>
    </w:p>
    <w:p>
      <w:pPr>
        <w:spacing w:line="420" w:lineRule="exact"/>
        <w:ind w:firstLine="480" w:firstLineChars="200"/>
        <w:rPr>
          <w:rFonts w:ascii="Times New Roman" w:hAnsi="Times New Roman" w:eastAsia="宋体"/>
          <w:sz w:val="24"/>
          <w:szCs w:val="24"/>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9"/>
        <w:gridCol w:w="1214"/>
        <w:gridCol w:w="1214"/>
        <w:gridCol w:w="1214"/>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0" w:type="auto"/>
            <w:vAlign w:val="center"/>
          </w:tcPr>
          <w:p>
            <w:pPr>
              <w:spacing w:line="360" w:lineRule="auto"/>
              <w:rPr>
                <w:rFonts w:asciiTheme="minorEastAsia" w:hAnsiTheme="minorEastAsia"/>
                <w:szCs w:val="21"/>
              </w:rPr>
            </w:pP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培养目标1</w:t>
            </w: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培养目标2</w:t>
            </w: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培养目标3</w:t>
            </w: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毕业要求1</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毕业要求2</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毕业要求3</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毕业要求4</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毕业要求5</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毕业要求6</w:t>
            </w:r>
          </w:p>
        </w:tc>
        <w:tc>
          <w:tcPr>
            <w:tcW w:w="0" w:type="auto"/>
            <w:vAlign w:val="center"/>
          </w:tcPr>
          <w:p>
            <w:pPr>
              <w:spacing w:line="360" w:lineRule="auto"/>
              <w:jc w:val="center"/>
              <w:rPr>
                <w:rFonts w:asciiTheme="minorEastAsia" w:hAnsiTheme="minorEastAsia"/>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毕业要求7</w:t>
            </w:r>
          </w:p>
        </w:tc>
        <w:tc>
          <w:tcPr>
            <w:tcW w:w="0" w:type="auto"/>
            <w:vAlign w:val="center"/>
          </w:tcPr>
          <w:p>
            <w:pPr>
              <w:spacing w:line="360" w:lineRule="auto"/>
              <w:jc w:val="center"/>
              <w:rPr>
                <w:rFonts w:asciiTheme="minorEastAsia" w:hAnsiTheme="minorEastAsia"/>
                <w:szCs w:val="21"/>
              </w:rPr>
            </w:pPr>
            <w:r>
              <w:rPr>
                <w:szCs w:val="21"/>
              </w:rPr>
              <w:t>√</w:t>
            </w: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毕业要求8</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毕业要求9</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毕业要求10</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毕业要求11</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rPr>
                <w:rFonts w:asciiTheme="minorEastAsia" w:hAnsiTheme="minorEastAsia"/>
                <w:szCs w:val="21"/>
              </w:rPr>
            </w:pPr>
            <w:r>
              <w:rPr>
                <w:rFonts w:hint="eastAsia" w:asciiTheme="minorEastAsia" w:hAnsiTheme="minorEastAsia"/>
                <w:szCs w:val="21"/>
              </w:rPr>
              <w:t>毕业要求12</w:t>
            </w:r>
          </w:p>
        </w:tc>
        <w:tc>
          <w:tcPr>
            <w:tcW w:w="0" w:type="auto"/>
            <w:vAlign w:val="center"/>
          </w:tcPr>
          <w:p>
            <w:pPr>
              <w:spacing w:line="276" w:lineRule="auto"/>
              <w:jc w:val="center"/>
              <w:rPr>
                <w:szCs w:val="21"/>
              </w:rPr>
            </w:pP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bl>
    <w:p>
      <w:pPr>
        <w:spacing w:line="360" w:lineRule="auto"/>
        <w:ind w:firstLine="480" w:firstLineChars="200"/>
        <w:rPr>
          <w:rFonts w:ascii="Times New Roman" w:hAnsi="Times New Roman" w:eastAsia="宋体"/>
          <w:sz w:val="24"/>
          <w:szCs w:val="24"/>
        </w:rPr>
      </w:pPr>
    </w:p>
    <w:p>
      <w:pPr>
        <w:spacing w:line="360" w:lineRule="auto"/>
        <w:rPr>
          <w:rFonts w:ascii="宋体" w:hAnsi="宋体"/>
          <w:b/>
          <w:bCs/>
          <w:sz w:val="24"/>
          <w:szCs w:val="24"/>
        </w:rPr>
      </w:pPr>
      <w:r>
        <w:rPr>
          <w:rFonts w:hint="eastAsia" w:ascii="宋体" w:hAnsi="宋体"/>
          <w:b/>
          <w:bCs/>
          <w:sz w:val="24"/>
          <w:szCs w:val="24"/>
        </w:rPr>
        <w:t>四、主干学科</w:t>
      </w:r>
    </w:p>
    <w:p>
      <w:pPr>
        <w:spacing w:line="360" w:lineRule="auto"/>
        <w:ind w:firstLine="480" w:firstLineChars="200"/>
        <w:rPr>
          <w:rFonts w:ascii="宋体" w:hAnsi="宋体"/>
          <w:sz w:val="24"/>
        </w:rPr>
      </w:pPr>
      <w:r>
        <w:rPr>
          <w:color w:val="000000"/>
          <w:sz w:val="24"/>
        </w:rPr>
        <w:t>生物学</w:t>
      </w:r>
      <w:r>
        <w:rPr>
          <w:sz w:val="24"/>
        </w:rPr>
        <w:t>，</w:t>
      </w:r>
      <w:r>
        <w:rPr>
          <w:color w:val="000000"/>
          <w:sz w:val="24"/>
        </w:rPr>
        <w:t>化学</w:t>
      </w:r>
      <w:r>
        <w:rPr>
          <w:sz w:val="24"/>
        </w:rPr>
        <w:t>，</w:t>
      </w:r>
      <w:r>
        <w:rPr>
          <w:color w:val="000000"/>
          <w:sz w:val="24"/>
        </w:rPr>
        <w:t>工程技术学</w:t>
      </w:r>
    </w:p>
    <w:p>
      <w:pPr>
        <w:spacing w:line="360" w:lineRule="auto"/>
        <w:rPr>
          <w:rFonts w:ascii="宋体" w:hAnsi="宋体"/>
          <w:b/>
          <w:bCs/>
          <w:sz w:val="24"/>
          <w:szCs w:val="24"/>
        </w:rPr>
      </w:pPr>
      <w:r>
        <w:rPr>
          <w:rFonts w:hint="eastAsia" w:ascii="宋体" w:hAnsi="宋体"/>
          <w:b/>
          <w:bCs/>
          <w:sz w:val="24"/>
          <w:szCs w:val="24"/>
        </w:rPr>
        <w:t>五、核心课程</w:t>
      </w:r>
    </w:p>
    <w:p>
      <w:pPr>
        <w:spacing w:line="360" w:lineRule="auto"/>
        <w:ind w:firstLine="480" w:firstLineChars="200"/>
        <w:rPr>
          <w:rFonts w:ascii="宋体" w:hAnsi="宋体"/>
          <w:sz w:val="24"/>
        </w:rPr>
      </w:pPr>
      <w:r>
        <w:rPr>
          <w:rFonts w:hint="eastAsia" w:ascii="宋体" w:hAnsi="宋体" w:cs="Arial Unicode MS"/>
          <w:kern w:val="0"/>
          <w:sz w:val="24"/>
        </w:rPr>
        <w:t>生物化学、微生物学、酿造酒工艺学、蒸馏酒工艺学、</w:t>
      </w:r>
      <w:r>
        <w:rPr>
          <w:rFonts w:hint="eastAsia" w:ascii="宋体" w:hAnsi="宋体"/>
          <w:sz w:val="24"/>
        </w:rPr>
        <w:t>酒类风味化学与品评技术、生物反应工程、发酵工程、生物分离工程等</w:t>
      </w:r>
    </w:p>
    <w:p>
      <w:pPr>
        <w:spacing w:line="360" w:lineRule="auto"/>
        <w:rPr>
          <w:rFonts w:ascii="宋体" w:hAnsi="宋体"/>
          <w:b/>
          <w:bCs/>
          <w:sz w:val="24"/>
          <w:szCs w:val="24"/>
        </w:rPr>
      </w:pPr>
      <w:r>
        <w:rPr>
          <w:rFonts w:hint="eastAsia" w:ascii="宋体" w:hAnsi="宋体"/>
          <w:b/>
          <w:bCs/>
          <w:sz w:val="24"/>
          <w:szCs w:val="24"/>
        </w:rPr>
        <w:t>六、标准学制与学位</w:t>
      </w:r>
    </w:p>
    <w:p>
      <w:pPr>
        <w:spacing w:line="360" w:lineRule="auto"/>
        <w:ind w:firstLine="480" w:firstLineChars="200"/>
        <w:rPr>
          <w:rFonts w:ascii="宋体" w:hAnsi="宋体"/>
          <w:sz w:val="24"/>
          <w:szCs w:val="24"/>
        </w:rPr>
      </w:pPr>
      <w:r>
        <w:rPr>
          <w:rFonts w:hint="eastAsia" w:ascii="宋体" w:hAnsi="宋体"/>
          <w:sz w:val="24"/>
          <w:szCs w:val="24"/>
        </w:rPr>
        <w:t>1.标准学制：四年制本科，实行弹性学习年限</w:t>
      </w:r>
    </w:p>
    <w:p>
      <w:pPr>
        <w:spacing w:line="360" w:lineRule="auto"/>
        <w:ind w:firstLine="480" w:firstLineChars="200"/>
        <w:rPr>
          <w:rFonts w:ascii="宋体" w:hAnsi="宋体"/>
          <w:sz w:val="24"/>
          <w:szCs w:val="24"/>
        </w:rPr>
      </w:pPr>
      <w:r>
        <w:rPr>
          <w:rFonts w:hint="eastAsia" w:ascii="宋体" w:hAnsi="宋体"/>
          <w:sz w:val="24"/>
          <w:szCs w:val="24"/>
        </w:rPr>
        <w:t>2.授予学位：</w:t>
      </w:r>
      <w:r>
        <w:rPr>
          <w:rFonts w:hint="eastAsia" w:ascii="宋体" w:hAnsi="宋体"/>
          <w:bCs/>
          <w:sz w:val="24"/>
          <w:szCs w:val="24"/>
        </w:rPr>
        <w:t>工</w:t>
      </w:r>
      <w:r>
        <w:rPr>
          <w:rFonts w:hint="eastAsia" w:ascii="宋体" w:hAnsi="宋体"/>
          <w:sz w:val="24"/>
          <w:szCs w:val="24"/>
        </w:rPr>
        <w:t>学学士学位</w:t>
      </w:r>
    </w:p>
    <w:p>
      <w:pPr>
        <w:spacing w:line="360" w:lineRule="auto"/>
        <w:rPr>
          <w:rFonts w:ascii="宋体" w:hAnsi="宋体"/>
          <w:b/>
          <w:sz w:val="24"/>
          <w:szCs w:val="24"/>
        </w:rPr>
      </w:pPr>
      <w:r>
        <w:rPr>
          <w:rFonts w:hint="eastAsia" w:ascii="宋体" w:hAnsi="宋体"/>
          <w:b/>
          <w:sz w:val="24"/>
          <w:szCs w:val="24"/>
        </w:rPr>
        <w:t>七、毕业学分要求与学位授予条件</w:t>
      </w:r>
    </w:p>
    <w:p>
      <w:pPr>
        <w:spacing w:line="360" w:lineRule="auto"/>
        <w:ind w:firstLine="480" w:firstLineChars="200"/>
        <w:rPr>
          <w:rFonts w:ascii="宋体" w:hAnsi="宋体"/>
          <w:sz w:val="24"/>
          <w:szCs w:val="24"/>
        </w:rPr>
      </w:pPr>
      <w:r>
        <w:rPr>
          <w:rFonts w:hint="eastAsia" w:ascii="宋体" w:hAnsi="宋体"/>
          <w:bCs/>
          <w:sz w:val="24"/>
          <w:szCs w:val="24"/>
        </w:rPr>
        <w:t>1.毕业最低学分要求：</w:t>
      </w:r>
      <w:r>
        <w:rPr>
          <w:rFonts w:hint="eastAsia" w:ascii="宋体" w:hAnsi="宋体"/>
          <w:sz w:val="24"/>
          <w:szCs w:val="24"/>
        </w:rPr>
        <w:t>1</w:t>
      </w:r>
      <w:r>
        <w:rPr>
          <w:rFonts w:ascii="宋体" w:hAnsi="宋体"/>
          <w:sz w:val="24"/>
          <w:szCs w:val="24"/>
        </w:rPr>
        <w:t>97</w:t>
      </w:r>
      <w:r>
        <w:rPr>
          <w:rFonts w:hint="eastAsia" w:ascii="宋体" w:hAnsi="宋体"/>
          <w:sz w:val="24"/>
          <w:szCs w:val="24"/>
        </w:rPr>
        <w:t>学分</w:t>
      </w:r>
    </w:p>
    <w:p>
      <w:pPr>
        <w:spacing w:line="360" w:lineRule="auto"/>
        <w:ind w:firstLine="480" w:firstLineChars="200"/>
        <w:rPr>
          <w:rFonts w:ascii="宋体" w:hAnsi="宋体"/>
          <w:sz w:val="24"/>
          <w:szCs w:val="24"/>
        </w:rPr>
      </w:pPr>
      <w:r>
        <w:rPr>
          <w:rFonts w:hint="eastAsia" w:ascii="宋体" w:hAnsi="宋体"/>
          <w:bCs/>
          <w:sz w:val="24"/>
          <w:szCs w:val="24"/>
        </w:rPr>
        <w:t>2</w:t>
      </w:r>
      <w:r>
        <w:rPr>
          <w:rFonts w:hint="eastAsia" w:ascii="宋体" w:hAnsi="宋体"/>
          <w:b/>
          <w:bCs/>
          <w:sz w:val="24"/>
          <w:szCs w:val="24"/>
        </w:rPr>
        <w:t>.</w:t>
      </w:r>
      <w:r>
        <w:rPr>
          <w:rFonts w:hint="eastAsia" w:ascii="宋体" w:hAnsi="宋体"/>
          <w:sz w:val="24"/>
          <w:szCs w:val="24"/>
        </w:rPr>
        <w:t>学位授予条件：取得本专业毕业证书、满足《天津科技大学学位授予工作实施细则》中相应规定者，授予学士学位。</w:t>
      </w:r>
    </w:p>
    <w:p>
      <w:pPr>
        <w:spacing w:line="360" w:lineRule="auto"/>
        <w:ind w:firstLine="480" w:firstLineChars="200"/>
        <w:rPr>
          <w:rFonts w:ascii="宋体" w:hAnsi="宋体"/>
          <w:bCs/>
          <w:sz w:val="24"/>
          <w:szCs w:val="24"/>
        </w:rPr>
      </w:pPr>
      <w:r>
        <w:rPr>
          <w:rFonts w:hint="eastAsia" w:ascii="宋体" w:hAnsi="宋体"/>
          <w:bCs/>
          <w:sz w:val="24"/>
          <w:szCs w:val="24"/>
        </w:rPr>
        <w:t>课程体系结构与各类课程毕业学分要求见下表。</w:t>
      </w:r>
    </w:p>
    <w:p>
      <w:pPr>
        <w:spacing w:line="360" w:lineRule="auto"/>
        <w:ind w:firstLine="480" w:firstLineChars="200"/>
        <w:rPr>
          <w:rFonts w:ascii="宋体" w:hAnsi="宋体"/>
          <w:bCs/>
          <w:sz w:val="24"/>
          <w:szCs w:val="24"/>
        </w:rPr>
      </w:pPr>
    </w:p>
    <w:tbl>
      <w:tblPr>
        <w:tblStyle w:val="18"/>
        <w:tblW w:w="7457" w:type="dxa"/>
        <w:jc w:val="center"/>
        <w:tblLayout w:type="autofit"/>
        <w:tblCellMar>
          <w:top w:w="0" w:type="dxa"/>
          <w:left w:w="108" w:type="dxa"/>
          <w:bottom w:w="0" w:type="dxa"/>
          <w:right w:w="108" w:type="dxa"/>
        </w:tblCellMar>
      </w:tblPr>
      <w:tblGrid>
        <w:gridCol w:w="900"/>
        <w:gridCol w:w="1437"/>
        <w:gridCol w:w="697"/>
        <w:gridCol w:w="974"/>
        <w:gridCol w:w="1122"/>
        <w:gridCol w:w="1117"/>
        <w:gridCol w:w="1210"/>
      </w:tblGrid>
      <w:tr>
        <w:tblPrEx>
          <w:tblCellMar>
            <w:top w:w="0" w:type="dxa"/>
            <w:left w:w="108" w:type="dxa"/>
            <w:bottom w:w="0" w:type="dxa"/>
            <w:right w:w="108" w:type="dxa"/>
          </w:tblCellMar>
        </w:tblPrEx>
        <w:trPr>
          <w:trHeight w:val="835" w:hRule="atLeast"/>
          <w:jc w:val="center"/>
        </w:trPr>
        <w:tc>
          <w:tcPr>
            <w:tcW w:w="31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课程类别</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学分</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占总学分比例</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学时</w:t>
            </w:r>
          </w:p>
        </w:tc>
        <w:tc>
          <w:tcPr>
            <w:tcW w:w="1225" w:type="dxa"/>
            <w:tcBorders>
              <w:top w:val="single" w:color="000000" w:sz="4" w:space="0"/>
              <w:left w:val="single" w:color="000000" w:sz="4" w:space="0"/>
              <w:right w:val="single" w:color="000000" w:sz="4" w:space="0"/>
            </w:tcBorders>
            <w:vAlign w:val="center"/>
          </w:tcPr>
          <w:p>
            <w:pPr>
              <w:widowControl/>
              <w:jc w:val="center"/>
              <w:textAlignment w:val="bottom"/>
              <w:rPr>
                <w:rFonts w:ascii="Times New Roman" w:hAnsi="Times New Roman" w:eastAsia="宋体" w:cs="Times New Roman"/>
                <w:b/>
                <w:bCs/>
                <w:color w:val="000000"/>
                <w:kern w:val="0"/>
                <w:szCs w:val="21"/>
                <w:lang w:bidi="ar"/>
              </w:rPr>
            </w:pPr>
            <w:r>
              <w:rPr>
                <w:rFonts w:hint="eastAsia" w:ascii="Times New Roman" w:hAnsi="宋体"/>
                <w:b/>
                <w:bCs/>
                <w:szCs w:val="21"/>
              </w:rPr>
              <w:t>实践</w:t>
            </w:r>
            <w:r>
              <w:rPr>
                <w:rFonts w:ascii="Times New Roman" w:hAnsi="宋体"/>
                <w:b/>
                <w:bCs/>
                <w:szCs w:val="21"/>
              </w:rPr>
              <w:t>教学占比</w:t>
            </w:r>
          </w:p>
        </w:tc>
      </w:tr>
      <w:tr>
        <w:tblPrEx>
          <w:tblCellMar>
            <w:top w:w="0" w:type="dxa"/>
            <w:left w:w="108" w:type="dxa"/>
            <w:bottom w:w="0" w:type="dxa"/>
            <w:right w:w="108" w:type="dxa"/>
          </w:tblCellMar>
        </w:tblPrEx>
        <w:trPr>
          <w:trHeight w:val="315" w:hRule="atLeast"/>
          <w:jc w:val="center"/>
        </w:trPr>
        <w:tc>
          <w:tcPr>
            <w:tcW w:w="24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通识教育课</w:t>
            </w:r>
            <w:r>
              <w:rPr>
                <w:rFonts w:ascii="等线" w:hAnsi="等线" w:eastAsia="等线" w:cs="等线"/>
                <w:color w:val="000000"/>
                <w:kern w:val="0"/>
                <w:szCs w:val="21"/>
                <w:lang w:bidi="ar"/>
              </w:rPr>
              <w:t>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必修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106</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53.81%</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1880</w:t>
            </w:r>
            <w:r>
              <w:rPr>
                <w:rFonts w:hint="eastAsia" w:ascii="Times New Roman" w:hAnsi="Times New Roman" w:eastAsia="宋体" w:cs="Times New Roman"/>
                <w:color w:val="000000" w:themeColor="text1"/>
                <w:kern w:val="0"/>
                <w:szCs w:val="21"/>
                <w:lang w:bidi="ar"/>
                <w14:textFill>
                  <w14:solidFill>
                    <w14:schemeClr w14:val="tx1"/>
                  </w14:solidFill>
                </w14:textFill>
              </w:rPr>
              <w:t>+</w:t>
            </w:r>
            <w:r>
              <w:rPr>
                <w:rFonts w:ascii="Times New Roman" w:hAnsi="Times New Roman" w:eastAsia="宋体" w:cs="Times New Roman"/>
                <w:color w:val="000000" w:themeColor="text1"/>
                <w:kern w:val="0"/>
                <w:szCs w:val="21"/>
                <w:lang w:bidi="ar"/>
                <w14:textFill>
                  <w14:solidFill>
                    <w14:schemeClr w14:val="tx1"/>
                  </w14:solidFill>
                </w14:textFill>
              </w:rPr>
              <w:t>2W</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themeColor="text1"/>
                <w:kern w:val="0"/>
                <w:szCs w:val="21"/>
                <w:lang w:bidi="ar"/>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9.89%</w:t>
            </w:r>
          </w:p>
        </w:tc>
      </w:tr>
      <w:tr>
        <w:tblPrEx>
          <w:tblCellMar>
            <w:top w:w="0" w:type="dxa"/>
            <w:left w:w="108" w:type="dxa"/>
            <w:bottom w:w="0" w:type="dxa"/>
            <w:right w:w="108" w:type="dxa"/>
          </w:tblCellMar>
        </w:tblPrEx>
        <w:trPr>
          <w:trHeight w:val="285" w:hRule="atLeast"/>
          <w:jc w:val="center"/>
        </w:trPr>
        <w:tc>
          <w:tcPr>
            <w:tcW w:w="2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选修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315" w:hRule="atLeast"/>
          <w:jc w:val="center"/>
        </w:trPr>
        <w:tc>
          <w:tcPr>
            <w:tcW w:w="24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学科基础课</w:t>
            </w:r>
            <w:r>
              <w:rPr>
                <w:rFonts w:ascii="等线" w:hAnsi="等线" w:eastAsia="等线" w:cs="等线"/>
                <w:color w:val="000000"/>
                <w:kern w:val="0"/>
                <w:szCs w:val="21"/>
                <w:lang w:bidi="ar"/>
              </w:rPr>
              <w:t>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必修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23</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11.68%</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424</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themeColor="text1"/>
                <w:kern w:val="0"/>
                <w:szCs w:val="21"/>
                <w:lang w:bidi="ar"/>
                <w14:textFill>
                  <w14:solidFill>
                    <w14:schemeClr w14:val="tx1"/>
                  </w14:solidFill>
                </w14:textFill>
              </w:rPr>
            </w:pPr>
            <w:r>
              <w:rPr>
                <w:rFonts w:hint="eastAsia" w:ascii="Times New Roman" w:hAnsi="Times New Roman" w:eastAsia="宋体" w:cs="Times New Roman"/>
                <w:color w:val="000000" w:themeColor="text1"/>
                <w:kern w:val="0"/>
                <w:szCs w:val="21"/>
                <w:lang w:bidi="ar"/>
                <w14:textFill>
                  <w14:solidFill>
                    <w14:schemeClr w14:val="tx1"/>
                  </w14:solidFill>
                </w14:textFill>
              </w:rPr>
              <w:t>2.</w:t>
            </w:r>
            <w:r>
              <w:rPr>
                <w:rFonts w:ascii="Times New Roman" w:hAnsi="Times New Roman" w:eastAsia="宋体" w:cs="Times New Roman"/>
                <w:color w:val="000000" w:themeColor="text1"/>
                <w:kern w:val="0"/>
                <w:szCs w:val="21"/>
                <w:lang w:bidi="ar"/>
                <w14:textFill>
                  <w14:solidFill>
                    <w14:schemeClr w14:val="tx1"/>
                  </w14:solidFill>
                </w14:textFill>
              </w:rPr>
              <w:t>88%</w:t>
            </w:r>
          </w:p>
        </w:tc>
      </w:tr>
      <w:tr>
        <w:tblPrEx>
          <w:tblCellMar>
            <w:top w:w="0" w:type="dxa"/>
            <w:left w:w="108" w:type="dxa"/>
            <w:bottom w:w="0" w:type="dxa"/>
            <w:right w:w="108" w:type="dxa"/>
          </w:tblCellMar>
        </w:tblPrEx>
        <w:trPr>
          <w:trHeight w:val="285" w:hRule="atLeast"/>
          <w:jc w:val="center"/>
        </w:trPr>
        <w:tc>
          <w:tcPr>
            <w:tcW w:w="2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选修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themeColor="text1"/>
                <w:szCs w:val="21"/>
                <w14:textFill>
                  <w14:solidFill>
                    <w14:schemeClr w14:val="tx1"/>
                  </w14:solidFill>
                </w14:textFill>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0</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themeColor="text1"/>
                <w:kern w:val="0"/>
                <w:szCs w:val="21"/>
                <w:lang w:bidi="ar"/>
                <w14:textFill>
                  <w14:solidFill>
                    <w14:schemeClr w14:val="tx1"/>
                  </w14:solidFill>
                </w14:textFill>
              </w:rPr>
            </w:pPr>
          </w:p>
        </w:tc>
      </w:tr>
      <w:tr>
        <w:tblPrEx>
          <w:tblCellMar>
            <w:top w:w="0" w:type="dxa"/>
            <w:left w:w="108" w:type="dxa"/>
            <w:bottom w:w="0" w:type="dxa"/>
            <w:right w:w="108" w:type="dxa"/>
          </w:tblCellMar>
        </w:tblPrEx>
        <w:trPr>
          <w:trHeight w:val="315" w:hRule="atLeast"/>
          <w:jc w:val="center"/>
        </w:trPr>
        <w:tc>
          <w:tcPr>
            <w:tcW w:w="24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专业</w:t>
            </w:r>
            <w:r>
              <w:rPr>
                <w:rFonts w:ascii="等线" w:hAnsi="等线" w:eastAsia="等线" w:cs="等线"/>
                <w:color w:val="000000"/>
                <w:kern w:val="0"/>
                <w:szCs w:val="21"/>
                <w:lang w:bidi="ar"/>
              </w:rPr>
              <w:t>教育</w:t>
            </w:r>
            <w:r>
              <w:rPr>
                <w:rFonts w:ascii="Times New Roman" w:hAnsi="Times New Roman" w:eastAsia="宋体" w:cs="Times New Roman"/>
                <w:color w:val="000000"/>
                <w:kern w:val="0"/>
                <w:szCs w:val="21"/>
                <w:lang w:bidi="ar"/>
              </w:rPr>
              <w:t>课</w:t>
            </w:r>
            <w:r>
              <w:rPr>
                <w:rFonts w:ascii="等线" w:hAnsi="等线" w:eastAsia="等线" w:cs="等线"/>
                <w:color w:val="000000"/>
                <w:kern w:val="0"/>
                <w:szCs w:val="21"/>
                <w:lang w:bidi="ar"/>
              </w:rPr>
              <w:t>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必修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29</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14.72%</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472</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0</w:t>
            </w:r>
            <w:r>
              <w:rPr>
                <w:rFonts w:hint="eastAsia" w:ascii="Times New Roman" w:hAnsi="Times New Roman" w:eastAsia="宋体" w:cs="Times New Roman"/>
                <w:color w:val="000000" w:themeColor="text1"/>
                <w:szCs w:val="21"/>
                <w14:textFill>
                  <w14:solidFill>
                    <w14:schemeClr w14:val="tx1"/>
                  </w14:solidFill>
                </w14:textFill>
              </w:rPr>
              <w:t>.43</w:t>
            </w:r>
            <w:r>
              <w:rPr>
                <w:rFonts w:ascii="Times New Roman" w:hAnsi="Times New Roman" w:eastAsia="宋体" w:cs="Times New Roman"/>
                <w:color w:val="000000" w:themeColor="text1"/>
                <w:szCs w:val="21"/>
                <w14:textFill>
                  <w14:solidFill>
                    <w14:schemeClr w14:val="tx1"/>
                  </w14:solidFill>
                </w14:textFill>
              </w:rPr>
              <w:t>%</w:t>
            </w:r>
          </w:p>
        </w:tc>
      </w:tr>
      <w:tr>
        <w:tblPrEx>
          <w:tblCellMar>
            <w:top w:w="0" w:type="dxa"/>
            <w:left w:w="108" w:type="dxa"/>
            <w:bottom w:w="0" w:type="dxa"/>
            <w:right w:w="108" w:type="dxa"/>
          </w:tblCellMar>
        </w:tblPrEx>
        <w:trPr>
          <w:trHeight w:val="285" w:hRule="atLeast"/>
          <w:jc w:val="center"/>
        </w:trPr>
        <w:tc>
          <w:tcPr>
            <w:tcW w:w="2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选修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6.09%</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192</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kern w:val="0"/>
                <w:szCs w:val="21"/>
                <w:lang w:bidi="ar"/>
              </w:rPr>
            </w:pPr>
          </w:p>
        </w:tc>
      </w:tr>
      <w:tr>
        <w:tblPrEx>
          <w:tblCellMar>
            <w:top w:w="0" w:type="dxa"/>
            <w:left w:w="108" w:type="dxa"/>
            <w:bottom w:w="0" w:type="dxa"/>
            <w:right w:w="108" w:type="dxa"/>
          </w:tblCellMar>
        </w:tblPrEx>
        <w:trPr>
          <w:trHeight w:val="315"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个性培养及创新拓展课程</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新工科创新</w:t>
            </w:r>
            <w:r>
              <w:rPr>
                <w:rFonts w:ascii="宋体" w:hAnsi="宋体"/>
                <w:color w:val="000000" w:themeColor="text1"/>
                <w:szCs w:val="21"/>
                <w14:textFill>
                  <w14:solidFill>
                    <w14:schemeClr w14:val="tx1"/>
                  </w14:solidFill>
                </w14:textFill>
              </w:rPr>
              <w:t>拓展</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themeColor="text1"/>
                <w:szCs w:val="21"/>
                <w14:textFill>
                  <w14:solidFill>
                    <w14:schemeClr w14:val="tx1"/>
                  </w14:solidFill>
                </w14:textFill>
              </w:rPr>
            </w:pPr>
            <w:r>
              <w:rPr>
                <w:rFonts w:ascii="等线" w:hAnsi="等线" w:eastAsia="等线" w:cs="等线"/>
                <w:color w:val="000000" w:themeColor="text1"/>
                <w:kern w:val="0"/>
                <w:szCs w:val="21"/>
                <w:lang w:bidi="ar"/>
                <w14:textFill>
                  <w14:solidFill>
                    <w14:schemeClr w14:val="tx1"/>
                  </w14:solidFill>
                </w14:textFill>
              </w:rPr>
              <w:t>选修</w:t>
            </w:r>
          </w:p>
        </w:tc>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4.06%</w:t>
            </w:r>
          </w:p>
        </w:tc>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128</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kern w:val="0"/>
                <w:szCs w:val="21"/>
                <w:lang w:bidi="ar"/>
              </w:rPr>
            </w:pPr>
          </w:p>
        </w:tc>
      </w:tr>
      <w:tr>
        <w:tblPrEx>
          <w:tblCellMar>
            <w:top w:w="0" w:type="dxa"/>
            <w:left w:w="108" w:type="dxa"/>
            <w:bottom w:w="0" w:type="dxa"/>
            <w:right w:w="108" w:type="dxa"/>
          </w:tblCellMar>
        </w:tblPrEx>
        <w:trPr>
          <w:trHeight w:val="285"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Cs w:val="21"/>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新文科创新</w:t>
            </w:r>
            <w:r>
              <w:rPr>
                <w:rFonts w:ascii="宋体" w:hAnsi="宋体"/>
                <w:color w:val="000000" w:themeColor="text1"/>
                <w:szCs w:val="21"/>
                <w14:textFill>
                  <w14:solidFill>
                    <w14:schemeClr w14:val="tx1"/>
                  </w14:solidFill>
                </w14:textFill>
              </w:rPr>
              <w:t>拓展</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themeColor="text1"/>
                <w:szCs w:val="21"/>
                <w14:textFill>
                  <w14:solidFill>
                    <w14:schemeClr w14:val="tx1"/>
                  </w14:solidFill>
                </w14:textFill>
              </w:rPr>
            </w:pPr>
            <w:r>
              <w:rPr>
                <w:rFonts w:ascii="等线" w:hAnsi="等线" w:eastAsia="等线" w:cs="等线"/>
                <w:color w:val="000000" w:themeColor="text1"/>
                <w:kern w:val="0"/>
                <w:szCs w:val="21"/>
                <w:lang w:bidi="ar"/>
                <w14:textFill>
                  <w14:solidFill>
                    <w14:schemeClr w14:val="tx1"/>
                  </w14:solidFill>
                </w14:textFill>
              </w:rPr>
              <w:t>选修</w:t>
            </w: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color w:val="000000"/>
                <w:szCs w:val="21"/>
              </w:rPr>
            </w:pPr>
          </w:p>
        </w:tc>
      </w:tr>
      <w:tr>
        <w:tblPrEx>
          <w:tblCellMar>
            <w:top w:w="0" w:type="dxa"/>
            <w:left w:w="108" w:type="dxa"/>
            <w:bottom w:w="0" w:type="dxa"/>
            <w:right w:w="108" w:type="dxa"/>
          </w:tblCellMar>
        </w:tblPrEx>
        <w:trPr>
          <w:trHeight w:val="510"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Cs w:val="21"/>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德育培养与劳动训练</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选修</w:t>
            </w: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color w:val="000000"/>
                <w:szCs w:val="21"/>
              </w:rPr>
            </w:pPr>
          </w:p>
        </w:tc>
      </w:tr>
      <w:tr>
        <w:tblPrEx>
          <w:tblCellMar>
            <w:top w:w="0" w:type="dxa"/>
            <w:left w:w="108" w:type="dxa"/>
            <w:bottom w:w="0" w:type="dxa"/>
            <w:right w:w="108" w:type="dxa"/>
          </w:tblCellMar>
        </w:tblPrEx>
        <w:trPr>
          <w:trHeight w:val="510"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Cs w:val="21"/>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创新创业与职业发展</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选修</w:t>
            </w: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122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color w:val="000000"/>
                <w:szCs w:val="21"/>
              </w:rPr>
            </w:pPr>
          </w:p>
        </w:tc>
      </w:tr>
      <w:tr>
        <w:tblPrEx>
          <w:tblCellMar>
            <w:top w:w="0" w:type="dxa"/>
            <w:left w:w="108" w:type="dxa"/>
            <w:bottom w:w="0" w:type="dxa"/>
            <w:right w:w="108" w:type="dxa"/>
          </w:tblCellMar>
        </w:tblPrEx>
        <w:trPr>
          <w:trHeight w:val="510"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等线" w:hAnsi="等线" w:eastAsia="等线" w:cs="等线"/>
                <w:color w:val="000000"/>
                <w:szCs w:val="21"/>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审美体验与艺术鉴赏</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选修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2</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1.01%</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32</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kern w:val="0"/>
                <w:szCs w:val="21"/>
                <w:lang w:bidi="ar"/>
              </w:rPr>
            </w:pPr>
          </w:p>
        </w:tc>
      </w:tr>
      <w:tr>
        <w:tblPrEx>
          <w:tblCellMar>
            <w:top w:w="0" w:type="dxa"/>
            <w:left w:w="108" w:type="dxa"/>
            <w:bottom w:w="0" w:type="dxa"/>
            <w:right w:w="108" w:type="dxa"/>
          </w:tblCellMar>
        </w:tblPrEx>
        <w:trPr>
          <w:trHeight w:val="315" w:hRule="atLeast"/>
          <w:jc w:val="center"/>
        </w:trPr>
        <w:tc>
          <w:tcPr>
            <w:tcW w:w="24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集中实践教学环节</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必修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17.0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8.63%</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26W</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kern w:val="0"/>
                <w:szCs w:val="21"/>
                <w:lang w:bidi="ar"/>
              </w:rPr>
            </w:pPr>
            <w:r>
              <w:rPr>
                <w:rFonts w:hint="eastAsia" w:ascii="Times New Roman" w:hAnsi="Times New Roman" w:eastAsia="宋体" w:cs="Times New Roman"/>
                <w:color w:val="000000"/>
                <w:kern w:val="0"/>
                <w:szCs w:val="21"/>
                <w:lang w:bidi="ar"/>
              </w:rPr>
              <w:t>13.86</w:t>
            </w:r>
            <w:r>
              <w:rPr>
                <w:rFonts w:ascii="Times New Roman" w:hAnsi="Times New Roman" w:eastAsia="宋体" w:cs="Times New Roman"/>
                <w:color w:val="000000"/>
                <w:kern w:val="0"/>
                <w:szCs w:val="21"/>
                <w:lang w:bidi="ar"/>
              </w:rPr>
              <w:t>%</w:t>
            </w:r>
          </w:p>
        </w:tc>
      </w:tr>
      <w:tr>
        <w:tblPrEx>
          <w:tblCellMar>
            <w:top w:w="0" w:type="dxa"/>
            <w:left w:w="108" w:type="dxa"/>
            <w:bottom w:w="0" w:type="dxa"/>
            <w:right w:w="108" w:type="dxa"/>
          </w:tblCellMar>
        </w:tblPrEx>
        <w:trPr>
          <w:trHeight w:val="285" w:hRule="atLeast"/>
          <w:jc w:val="center"/>
        </w:trPr>
        <w:tc>
          <w:tcPr>
            <w:tcW w:w="24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选修</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s="Times New Roman"/>
                <w:color w:val="000000"/>
                <w:szCs w:val="21"/>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0</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kern w:val="0"/>
                <w:szCs w:val="21"/>
                <w:lang w:bidi="ar"/>
              </w:rPr>
            </w:pPr>
          </w:p>
        </w:tc>
      </w:tr>
      <w:tr>
        <w:tblPrEx>
          <w:tblCellMar>
            <w:top w:w="0" w:type="dxa"/>
            <w:left w:w="108" w:type="dxa"/>
            <w:bottom w:w="0" w:type="dxa"/>
            <w:right w:w="108" w:type="dxa"/>
          </w:tblCellMar>
        </w:tblPrEx>
        <w:trPr>
          <w:trHeight w:val="315" w:hRule="atLeast"/>
          <w:jc w:val="center"/>
        </w:trPr>
        <w:tc>
          <w:tcPr>
            <w:tcW w:w="311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等线" w:hAnsi="等线" w:eastAsia="等线" w:cs="等线"/>
                <w:color w:val="000000"/>
                <w:szCs w:val="21"/>
              </w:rPr>
            </w:pPr>
            <w:r>
              <w:rPr>
                <w:rFonts w:ascii="等线" w:hAnsi="等线" w:eastAsia="等线" w:cs="等线"/>
                <w:color w:val="000000"/>
                <w:kern w:val="0"/>
                <w:szCs w:val="21"/>
                <w:lang w:bidi="ar"/>
              </w:rPr>
              <w:t>合计</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197</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100.0%</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center"/>
              <w:textAlignment w:val="bottom"/>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3128+28w</w:t>
            </w:r>
          </w:p>
        </w:tc>
        <w:tc>
          <w:tcPr>
            <w:tcW w:w="12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ascii="Times New Roman" w:hAnsi="Times New Roman" w:eastAsia="宋体" w:cs="Times New Roman"/>
                <w:color w:val="000000" w:themeColor="text1"/>
                <w:kern w:val="0"/>
                <w:szCs w:val="21"/>
                <w:lang w:bidi="ar"/>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27.06%</w:t>
            </w:r>
          </w:p>
        </w:tc>
      </w:tr>
    </w:tbl>
    <w:p>
      <w:pPr>
        <w:spacing w:line="360" w:lineRule="auto"/>
        <w:ind w:firstLine="480" w:firstLineChars="200"/>
        <w:rPr>
          <w:rFonts w:ascii="宋体" w:hAnsi="宋体"/>
          <w:bCs/>
          <w:sz w:val="24"/>
          <w:szCs w:val="24"/>
        </w:rPr>
      </w:pPr>
      <w:r>
        <w:rPr>
          <w:rFonts w:hint="eastAsia" w:ascii="宋体" w:hAnsi="宋体"/>
          <w:bCs/>
          <w:sz w:val="24"/>
          <w:szCs w:val="24"/>
        </w:rPr>
        <w:t xml:space="preserve">        注</w:t>
      </w:r>
      <w:r>
        <w:rPr>
          <w:rFonts w:ascii="宋体" w:hAnsi="宋体"/>
          <w:bCs/>
          <w:sz w:val="24"/>
          <w:szCs w:val="24"/>
        </w:rPr>
        <w:t>：实验课</w:t>
      </w:r>
      <w:r>
        <w:rPr>
          <w:rFonts w:hint="eastAsia" w:ascii="宋体" w:hAnsi="宋体"/>
          <w:bCs/>
          <w:sz w:val="24"/>
          <w:szCs w:val="24"/>
        </w:rPr>
        <w:t>1学分</w:t>
      </w:r>
      <w:r>
        <w:rPr>
          <w:rFonts w:ascii="宋体" w:hAnsi="宋体"/>
          <w:bCs/>
          <w:sz w:val="24"/>
          <w:szCs w:val="24"/>
        </w:rPr>
        <w:t>为</w:t>
      </w:r>
      <w:r>
        <w:rPr>
          <w:rFonts w:hint="eastAsia" w:ascii="宋体" w:hAnsi="宋体"/>
          <w:bCs/>
          <w:sz w:val="24"/>
          <w:szCs w:val="24"/>
        </w:rPr>
        <w:t>32学时</w:t>
      </w:r>
      <w:r>
        <w:rPr>
          <w:rFonts w:ascii="宋体" w:hAnsi="宋体"/>
          <w:bCs/>
          <w:sz w:val="24"/>
          <w:szCs w:val="24"/>
        </w:rPr>
        <w:t>，</w:t>
      </w:r>
      <w:r>
        <w:rPr>
          <w:rFonts w:hint="eastAsia" w:ascii="宋体" w:hAnsi="宋体"/>
          <w:bCs/>
          <w:sz w:val="24"/>
          <w:szCs w:val="24"/>
        </w:rPr>
        <w:t>实践</w:t>
      </w:r>
      <w:r>
        <w:rPr>
          <w:rFonts w:ascii="宋体" w:hAnsi="宋体"/>
          <w:bCs/>
          <w:sz w:val="24"/>
          <w:szCs w:val="24"/>
        </w:rPr>
        <w:t>课</w:t>
      </w:r>
      <w:r>
        <w:rPr>
          <w:rFonts w:hint="eastAsia" w:ascii="宋体" w:hAnsi="宋体"/>
          <w:bCs/>
          <w:sz w:val="24"/>
          <w:szCs w:val="24"/>
        </w:rPr>
        <w:t>1</w:t>
      </w:r>
      <w:r>
        <w:rPr>
          <w:rFonts w:ascii="宋体" w:hAnsi="宋体"/>
          <w:bCs/>
          <w:sz w:val="24"/>
          <w:szCs w:val="24"/>
        </w:rPr>
        <w:t>W为</w:t>
      </w:r>
      <w:r>
        <w:rPr>
          <w:rFonts w:hint="eastAsia" w:ascii="宋体" w:hAnsi="宋体"/>
          <w:bCs/>
          <w:sz w:val="24"/>
          <w:szCs w:val="24"/>
        </w:rPr>
        <w:t>20学时。</w:t>
      </w:r>
    </w:p>
    <w:p>
      <w:pPr>
        <w:spacing w:line="360" w:lineRule="auto"/>
        <w:rPr>
          <w:rFonts w:ascii="宋体" w:hAnsi="宋体"/>
          <w:b/>
          <w:sz w:val="24"/>
        </w:rPr>
      </w:pPr>
      <w:r>
        <w:rPr>
          <w:rFonts w:hint="eastAsia" w:ascii="宋体" w:hAnsi="宋体"/>
          <w:b/>
          <w:sz w:val="24"/>
        </w:rPr>
        <w:t>八、主要课程与毕业要求关系矩阵</w:t>
      </w:r>
      <w:r>
        <w:rPr>
          <w:rFonts w:hint="eastAsia" w:ascii="宋体" w:hAnsi="宋体"/>
          <w:b/>
          <w:bCs/>
          <w:sz w:val="24"/>
          <w:szCs w:val="24"/>
        </w:rPr>
        <w:t>（见附件）</w:t>
      </w:r>
    </w:p>
    <w:p>
      <w:pPr>
        <w:spacing w:line="360" w:lineRule="auto"/>
        <w:rPr>
          <w:rFonts w:ascii="宋体" w:hAnsi="宋体"/>
          <w:b/>
          <w:bCs/>
          <w:sz w:val="24"/>
          <w:szCs w:val="24"/>
        </w:rPr>
      </w:pPr>
      <w:r>
        <w:rPr>
          <w:rFonts w:hint="eastAsia" w:ascii="宋体" w:hAnsi="宋体"/>
          <w:b/>
          <w:bCs/>
          <w:sz w:val="24"/>
          <w:szCs w:val="24"/>
        </w:rPr>
        <w:t>九、教学进程表（见附件）</w:t>
      </w:r>
    </w:p>
    <w:p>
      <w:pPr>
        <w:spacing w:line="360" w:lineRule="auto"/>
        <w:rPr>
          <w:rFonts w:ascii="宋体" w:hAnsi="宋体"/>
          <w:b/>
          <w:bCs/>
          <w:sz w:val="24"/>
          <w:szCs w:val="24"/>
        </w:rPr>
      </w:pPr>
      <w:r>
        <w:rPr>
          <w:rFonts w:hint="eastAsia" w:ascii="宋体" w:hAnsi="宋体"/>
          <w:b/>
          <w:bCs/>
          <w:sz w:val="24"/>
          <w:szCs w:val="24"/>
        </w:rPr>
        <w:t>十、主要课程拓扑图（见附件）</w:t>
      </w:r>
    </w:p>
    <w:p>
      <w:pPr>
        <w:rPr>
          <w:b/>
        </w:rPr>
      </w:pPr>
      <w:r>
        <w:rPr>
          <w:rFonts w:hint="eastAsia"/>
          <w:b/>
        </w:rPr>
        <w:t>院长：</w:t>
      </w:r>
      <w:r>
        <w:rPr>
          <w:rFonts w:hint="eastAsia"/>
          <w:b/>
        </w:rPr>
        <w:drawing>
          <wp:inline distT="0" distB="0" distL="0" distR="0">
            <wp:extent cx="850265" cy="727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4465" cy="774412"/>
                    </a:xfrm>
                    <a:prstGeom prst="rect">
                      <a:avLst/>
                    </a:prstGeom>
                  </pic:spPr>
                </pic:pic>
              </a:graphicData>
            </a:graphic>
          </wp:inline>
        </w:drawing>
      </w:r>
      <w:r>
        <w:rPr>
          <w:rFonts w:hint="eastAsia"/>
          <w:b/>
        </w:rPr>
        <w:t xml:space="preserve">   教学副院长： </w:t>
      </w:r>
      <w:r>
        <w:rPr>
          <w:rFonts w:hint="eastAsia"/>
          <w:b/>
        </w:rPr>
        <w:drawing>
          <wp:inline distT="0" distB="0" distL="0" distR="0">
            <wp:extent cx="1136650" cy="578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3155" cy="581762"/>
                    </a:xfrm>
                    <a:prstGeom prst="rect">
                      <a:avLst/>
                    </a:prstGeom>
                  </pic:spPr>
                </pic:pic>
              </a:graphicData>
            </a:graphic>
          </wp:inline>
        </w:drawing>
      </w:r>
      <w:r>
        <w:rPr>
          <w:rFonts w:hint="eastAsia"/>
          <w:b/>
        </w:rPr>
        <w:t xml:space="preserve">    专业负责人：</w:t>
      </w:r>
      <w:r>
        <w:rPr>
          <w:b/>
        </w:rPr>
        <w:drawing>
          <wp:inline distT="0" distB="0" distL="0" distR="0">
            <wp:extent cx="809625" cy="533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809625" cy="533400"/>
                    </a:xfrm>
                    <a:prstGeom prst="rect">
                      <a:avLst/>
                    </a:prstGeom>
                  </pic:spPr>
                </pic:pic>
              </a:graphicData>
            </a:graphic>
          </wp:inline>
        </w:drawing>
      </w:r>
    </w:p>
    <w:p>
      <w:pPr>
        <w:rPr>
          <w:b/>
        </w:rPr>
      </w:pPr>
      <w:r>
        <w:commentReference w:id="0"/>
      </w:r>
      <w:bookmarkStart w:id="1" w:name="_GoBack"/>
      <w:bookmarkEnd w:id="1"/>
    </w:p>
    <w:sectPr>
      <w:footerReference r:id="rId5" w:type="default"/>
      <w:pgSz w:w="11906" w:h="16838"/>
      <w:pgMar w:top="1134" w:right="1644" w:bottom="1134" w:left="1701"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媛" w:date="2023-07-19T09:06:55Z" w:initials="">
    <w:p w14:paraId="09ED2288">
      <w:pPr>
        <w:spacing w:line="360" w:lineRule="auto"/>
      </w:pPr>
      <w:r>
        <w:rPr>
          <w:rFonts w:hint="eastAsia" w:ascii="宋体" w:hAnsi="宋体"/>
          <w:b/>
          <w:sz w:val="24"/>
          <w:lang w:val="en-US" w:eastAsia="zh-CN"/>
        </w:rPr>
        <w:t>缺少</w:t>
      </w:r>
      <w:r>
        <w:rPr>
          <w:rFonts w:hint="eastAsia" w:ascii="宋体" w:hAnsi="宋体"/>
          <w:b/>
          <w:sz w:val="24"/>
        </w:rPr>
        <w:t>八、主要课程与毕业要求关系矩阵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9ED228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8404893"/>
      <w:showingPlcHdr/>
    </w:sdtPr>
    <w:sdtContent>
      <w:p>
        <w:pPr>
          <w:pStyle w:val="12"/>
          <w:jc w:val="center"/>
        </w:pPr>
        <w:r>
          <w:t xml:space="preserve">     </w:t>
        </w:r>
      </w:p>
    </w:sdtContent>
  </w:sdt>
  <w:p>
    <w:pPr>
      <w:spacing w:line="14" w:lineRule="auto"/>
      <w:rPr>
        <w:sz w:val="20"/>
        <w:szCs w:val="20"/>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媛">
    <w15:presenceInfo w15:providerId="WPS Office" w15:userId="1347989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iNmVhNzYyMzU5NDY2YTE4NjFlZjE0MDI5MDE4NTcifQ=="/>
  </w:docVars>
  <w:rsids>
    <w:rsidRoot w:val="00CB277B"/>
    <w:rsid w:val="00003FF1"/>
    <w:rsid w:val="0002099E"/>
    <w:rsid w:val="00021DBB"/>
    <w:rsid w:val="00025560"/>
    <w:rsid w:val="000300A6"/>
    <w:rsid w:val="00035EE7"/>
    <w:rsid w:val="00040958"/>
    <w:rsid w:val="0004441F"/>
    <w:rsid w:val="00072F5D"/>
    <w:rsid w:val="0007585D"/>
    <w:rsid w:val="00082A8C"/>
    <w:rsid w:val="00092BD1"/>
    <w:rsid w:val="00097A0D"/>
    <w:rsid w:val="000A3710"/>
    <w:rsid w:val="000A4BAD"/>
    <w:rsid w:val="000B1686"/>
    <w:rsid w:val="000B1AC2"/>
    <w:rsid w:val="000B1CE4"/>
    <w:rsid w:val="000C2081"/>
    <w:rsid w:val="000C4FCA"/>
    <w:rsid w:val="000C6CBE"/>
    <w:rsid w:val="000C7DBD"/>
    <w:rsid w:val="000E5C50"/>
    <w:rsid w:val="000E68BF"/>
    <w:rsid w:val="000E6B33"/>
    <w:rsid w:val="0010268A"/>
    <w:rsid w:val="00105F56"/>
    <w:rsid w:val="00116A8E"/>
    <w:rsid w:val="00130288"/>
    <w:rsid w:val="001417BF"/>
    <w:rsid w:val="00156FAF"/>
    <w:rsid w:val="001571EC"/>
    <w:rsid w:val="0017608C"/>
    <w:rsid w:val="001931E7"/>
    <w:rsid w:val="001B3A77"/>
    <w:rsid w:val="001F146A"/>
    <w:rsid w:val="00204C73"/>
    <w:rsid w:val="00212F9C"/>
    <w:rsid w:val="00217ABC"/>
    <w:rsid w:val="00226CF3"/>
    <w:rsid w:val="002467DC"/>
    <w:rsid w:val="00257319"/>
    <w:rsid w:val="00261493"/>
    <w:rsid w:val="002721A9"/>
    <w:rsid w:val="002768A4"/>
    <w:rsid w:val="00291BB3"/>
    <w:rsid w:val="00291CF1"/>
    <w:rsid w:val="002A65D3"/>
    <w:rsid w:val="002A78F5"/>
    <w:rsid w:val="002B09E3"/>
    <w:rsid w:val="002B3492"/>
    <w:rsid w:val="002C42BF"/>
    <w:rsid w:val="002C7784"/>
    <w:rsid w:val="002D4976"/>
    <w:rsid w:val="002D5910"/>
    <w:rsid w:val="002F47A8"/>
    <w:rsid w:val="002F5673"/>
    <w:rsid w:val="003005AB"/>
    <w:rsid w:val="003008A9"/>
    <w:rsid w:val="00313FBD"/>
    <w:rsid w:val="00320ECD"/>
    <w:rsid w:val="003228DF"/>
    <w:rsid w:val="003425F2"/>
    <w:rsid w:val="00343813"/>
    <w:rsid w:val="00346996"/>
    <w:rsid w:val="00350873"/>
    <w:rsid w:val="003560C3"/>
    <w:rsid w:val="00356EF5"/>
    <w:rsid w:val="0036465A"/>
    <w:rsid w:val="00375195"/>
    <w:rsid w:val="00380898"/>
    <w:rsid w:val="003816A7"/>
    <w:rsid w:val="00391044"/>
    <w:rsid w:val="003918F4"/>
    <w:rsid w:val="00392C3F"/>
    <w:rsid w:val="003945BB"/>
    <w:rsid w:val="003A5183"/>
    <w:rsid w:val="003C7145"/>
    <w:rsid w:val="003C7858"/>
    <w:rsid w:val="003E4F5C"/>
    <w:rsid w:val="003E6DA4"/>
    <w:rsid w:val="003F0B5F"/>
    <w:rsid w:val="003F2605"/>
    <w:rsid w:val="003F2813"/>
    <w:rsid w:val="003F6996"/>
    <w:rsid w:val="0040120D"/>
    <w:rsid w:val="00411C71"/>
    <w:rsid w:val="0041203B"/>
    <w:rsid w:val="0042776F"/>
    <w:rsid w:val="004414EF"/>
    <w:rsid w:val="00441D2C"/>
    <w:rsid w:val="004451C3"/>
    <w:rsid w:val="004471B4"/>
    <w:rsid w:val="004808DA"/>
    <w:rsid w:val="004846E5"/>
    <w:rsid w:val="00484E37"/>
    <w:rsid w:val="004B5160"/>
    <w:rsid w:val="004B602A"/>
    <w:rsid w:val="004B754B"/>
    <w:rsid w:val="004C188E"/>
    <w:rsid w:val="004C1B69"/>
    <w:rsid w:val="004D1A89"/>
    <w:rsid w:val="004D2993"/>
    <w:rsid w:val="004D3126"/>
    <w:rsid w:val="004D655F"/>
    <w:rsid w:val="004E5972"/>
    <w:rsid w:val="004F7839"/>
    <w:rsid w:val="00513461"/>
    <w:rsid w:val="00521234"/>
    <w:rsid w:val="00524B85"/>
    <w:rsid w:val="005314EA"/>
    <w:rsid w:val="00532B34"/>
    <w:rsid w:val="00546D2E"/>
    <w:rsid w:val="00562D39"/>
    <w:rsid w:val="00566020"/>
    <w:rsid w:val="00566216"/>
    <w:rsid w:val="00566C7F"/>
    <w:rsid w:val="005736F8"/>
    <w:rsid w:val="00574CB5"/>
    <w:rsid w:val="005967F0"/>
    <w:rsid w:val="005A2629"/>
    <w:rsid w:val="005A36C1"/>
    <w:rsid w:val="005D2B88"/>
    <w:rsid w:val="005D5EB0"/>
    <w:rsid w:val="00603823"/>
    <w:rsid w:val="00603DEB"/>
    <w:rsid w:val="00607F86"/>
    <w:rsid w:val="006109EE"/>
    <w:rsid w:val="00613AAE"/>
    <w:rsid w:val="00617DE8"/>
    <w:rsid w:val="00624248"/>
    <w:rsid w:val="00654C61"/>
    <w:rsid w:val="00665204"/>
    <w:rsid w:val="00672D70"/>
    <w:rsid w:val="00673E80"/>
    <w:rsid w:val="0067505A"/>
    <w:rsid w:val="006752B2"/>
    <w:rsid w:val="0069470F"/>
    <w:rsid w:val="006A0DD4"/>
    <w:rsid w:val="006A56DF"/>
    <w:rsid w:val="006B440C"/>
    <w:rsid w:val="006C530C"/>
    <w:rsid w:val="006D09C3"/>
    <w:rsid w:val="006E30A0"/>
    <w:rsid w:val="006E3959"/>
    <w:rsid w:val="006E5283"/>
    <w:rsid w:val="006E7732"/>
    <w:rsid w:val="00701718"/>
    <w:rsid w:val="00712C26"/>
    <w:rsid w:val="007335AD"/>
    <w:rsid w:val="007417AE"/>
    <w:rsid w:val="00742C0D"/>
    <w:rsid w:val="007446CC"/>
    <w:rsid w:val="00776EEC"/>
    <w:rsid w:val="00783348"/>
    <w:rsid w:val="00795E3A"/>
    <w:rsid w:val="00797B50"/>
    <w:rsid w:val="007A0FE2"/>
    <w:rsid w:val="007A2E27"/>
    <w:rsid w:val="007B13DD"/>
    <w:rsid w:val="007B3A46"/>
    <w:rsid w:val="007B7517"/>
    <w:rsid w:val="007D021C"/>
    <w:rsid w:val="007E7126"/>
    <w:rsid w:val="007F434B"/>
    <w:rsid w:val="007F6BCA"/>
    <w:rsid w:val="00801326"/>
    <w:rsid w:val="00806624"/>
    <w:rsid w:val="0081242C"/>
    <w:rsid w:val="00827E5B"/>
    <w:rsid w:val="00833D0B"/>
    <w:rsid w:val="0084235F"/>
    <w:rsid w:val="00850B1D"/>
    <w:rsid w:val="0085166E"/>
    <w:rsid w:val="0086008A"/>
    <w:rsid w:val="00890183"/>
    <w:rsid w:val="008A011B"/>
    <w:rsid w:val="008A4969"/>
    <w:rsid w:val="008A4FED"/>
    <w:rsid w:val="008A5E08"/>
    <w:rsid w:val="008B5746"/>
    <w:rsid w:val="008D7332"/>
    <w:rsid w:val="008F0AEF"/>
    <w:rsid w:val="008F4DA4"/>
    <w:rsid w:val="00911054"/>
    <w:rsid w:val="00912B15"/>
    <w:rsid w:val="00920EF8"/>
    <w:rsid w:val="00924066"/>
    <w:rsid w:val="0093101B"/>
    <w:rsid w:val="00932402"/>
    <w:rsid w:val="00941007"/>
    <w:rsid w:val="00943887"/>
    <w:rsid w:val="00945094"/>
    <w:rsid w:val="00957F1C"/>
    <w:rsid w:val="00987B11"/>
    <w:rsid w:val="00994BC3"/>
    <w:rsid w:val="009A6B84"/>
    <w:rsid w:val="009B16B8"/>
    <w:rsid w:val="009F0144"/>
    <w:rsid w:val="00A0726E"/>
    <w:rsid w:val="00A1065B"/>
    <w:rsid w:val="00A136EF"/>
    <w:rsid w:val="00A23F9D"/>
    <w:rsid w:val="00A324A2"/>
    <w:rsid w:val="00A339F1"/>
    <w:rsid w:val="00A46FAC"/>
    <w:rsid w:val="00A60DEE"/>
    <w:rsid w:val="00A63748"/>
    <w:rsid w:val="00A66833"/>
    <w:rsid w:val="00A66B60"/>
    <w:rsid w:val="00A75656"/>
    <w:rsid w:val="00A76E86"/>
    <w:rsid w:val="00A87124"/>
    <w:rsid w:val="00A87F0E"/>
    <w:rsid w:val="00AA0A1E"/>
    <w:rsid w:val="00AB7C6D"/>
    <w:rsid w:val="00AC5D4A"/>
    <w:rsid w:val="00AC78A3"/>
    <w:rsid w:val="00AD1114"/>
    <w:rsid w:val="00AE0EAF"/>
    <w:rsid w:val="00AE6562"/>
    <w:rsid w:val="00AF0ED8"/>
    <w:rsid w:val="00AF2454"/>
    <w:rsid w:val="00AF299E"/>
    <w:rsid w:val="00B14781"/>
    <w:rsid w:val="00B23C81"/>
    <w:rsid w:val="00B27A95"/>
    <w:rsid w:val="00B33351"/>
    <w:rsid w:val="00B42083"/>
    <w:rsid w:val="00B42E1A"/>
    <w:rsid w:val="00B459EB"/>
    <w:rsid w:val="00B55EFD"/>
    <w:rsid w:val="00B7474E"/>
    <w:rsid w:val="00B8153F"/>
    <w:rsid w:val="00B85370"/>
    <w:rsid w:val="00BA67E0"/>
    <w:rsid w:val="00BB1532"/>
    <w:rsid w:val="00BB4FAB"/>
    <w:rsid w:val="00BD7F82"/>
    <w:rsid w:val="00BE273F"/>
    <w:rsid w:val="00BF7152"/>
    <w:rsid w:val="00C14437"/>
    <w:rsid w:val="00C16100"/>
    <w:rsid w:val="00C274A1"/>
    <w:rsid w:val="00C43782"/>
    <w:rsid w:val="00C579D1"/>
    <w:rsid w:val="00C64A07"/>
    <w:rsid w:val="00C74243"/>
    <w:rsid w:val="00C95453"/>
    <w:rsid w:val="00CB277B"/>
    <w:rsid w:val="00CB544B"/>
    <w:rsid w:val="00CC08FD"/>
    <w:rsid w:val="00CC3159"/>
    <w:rsid w:val="00D10568"/>
    <w:rsid w:val="00D10DEE"/>
    <w:rsid w:val="00D13337"/>
    <w:rsid w:val="00D13E61"/>
    <w:rsid w:val="00D541CD"/>
    <w:rsid w:val="00D64B8A"/>
    <w:rsid w:val="00D67415"/>
    <w:rsid w:val="00D711C3"/>
    <w:rsid w:val="00D7726C"/>
    <w:rsid w:val="00D838C7"/>
    <w:rsid w:val="00D86CFC"/>
    <w:rsid w:val="00D86E1C"/>
    <w:rsid w:val="00DA3C99"/>
    <w:rsid w:val="00DA475F"/>
    <w:rsid w:val="00DB6100"/>
    <w:rsid w:val="00DC4872"/>
    <w:rsid w:val="00DD6FBF"/>
    <w:rsid w:val="00DF7143"/>
    <w:rsid w:val="00E0027F"/>
    <w:rsid w:val="00E03495"/>
    <w:rsid w:val="00E040A6"/>
    <w:rsid w:val="00E11F32"/>
    <w:rsid w:val="00E14CD3"/>
    <w:rsid w:val="00E1716E"/>
    <w:rsid w:val="00E20F34"/>
    <w:rsid w:val="00E30026"/>
    <w:rsid w:val="00E34922"/>
    <w:rsid w:val="00E46182"/>
    <w:rsid w:val="00E61B27"/>
    <w:rsid w:val="00E62093"/>
    <w:rsid w:val="00E7091E"/>
    <w:rsid w:val="00E92322"/>
    <w:rsid w:val="00EA1BC2"/>
    <w:rsid w:val="00EB04A3"/>
    <w:rsid w:val="00EB19F9"/>
    <w:rsid w:val="00EB3F24"/>
    <w:rsid w:val="00EC7413"/>
    <w:rsid w:val="00ED08A0"/>
    <w:rsid w:val="00ED3E1B"/>
    <w:rsid w:val="00ED4811"/>
    <w:rsid w:val="00ED550B"/>
    <w:rsid w:val="00EE0664"/>
    <w:rsid w:val="00EE57FC"/>
    <w:rsid w:val="00EE69FF"/>
    <w:rsid w:val="00EF64DB"/>
    <w:rsid w:val="00F26AA5"/>
    <w:rsid w:val="00F36C79"/>
    <w:rsid w:val="00F40DD7"/>
    <w:rsid w:val="00F5683A"/>
    <w:rsid w:val="00F65229"/>
    <w:rsid w:val="00F7087D"/>
    <w:rsid w:val="00F756E3"/>
    <w:rsid w:val="00F81AF3"/>
    <w:rsid w:val="00F857DF"/>
    <w:rsid w:val="00FB19D6"/>
    <w:rsid w:val="00FB56E6"/>
    <w:rsid w:val="00FD2640"/>
    <w:rsid w:val="00FD2685"/>
    <w:rsid w:val="00FD682F"/>
    <w:rsid w:val="569366E9"/>
    <w:rsid w:val="672A6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0"/>
    <w:pPr>
      <w:ind w:left="120"/>
      <w:jc w:val="left"/>
      <w:outlineLvl w:val="0"/>
    </w:pPr>
    <w:rPr>
      <w:rFonts w:ascii="宋体" w:hAnsi="宋体" w:eastAsia="宋体" w:cs="Times New Roman"/>
      <w:b/>
      <w:bCs/>
      <w:kern w:val="0"/>
      <w:sz w:val="32"/>
      <w:szCs w:val="32"/>
      <w:lang w:eastAsia="en-US"/>
    </w:rPr>
  </w:style>
  <w:style w:type="paragraph" w:styleId="3">
    <w:name w:val="heading 2"/>
    <w:basedOn w:val="1"/>
    <w:next w:val="1"/>
    <w:link w:val="31"/>
    <w:qFormat/>
    <w:uiPriority w:val="0"/>
    <w:pPr>
      <w:ind w:left="2754"/>
      <w:jc w:val="left"/>
      <w:outlineLvl w:val="1"/>
    </w:pPr>
    <w:rPr>
      <w:rFonts w:ascii="Arial Unicode MS" w:hAnsi="Arial Unicode MS" w:eastAsia="Arial Unicode MS" w:cs="Times New Roman"/>
      <w:kern w:val="0"/>
      <w:sz w:val="32"/>
      <w:szCs w:val="32"/>
      <w:lang w:eastAsia="en-US"/>
    </w:rPr>
  </w:style>
  <w:style w:type="paragraph" w:styleId="4">
    <w:name w:val="heading 3"/>
    <w:basedOn w:val="1"/>
    <w:next w:val="1"/>
    <w:link w:val="32"/>
    <w:qFormat/>
    <w:uiPriority w:val="0"/>
    <w:pPr>
      <w:keepNext/>
      <w:keepLines/>
      <w:spacing w:before="260" w:after="260" w:line="413" w:lineRule="auto"/>
      <w:outlineLvl w:val="2"/>
    </w:pPr>
    <w:rPr>
      <w:rFonts w:ascii="Times New Roman" w:hAnsi="Times New Roman" w:eastAsia="宋体" w:cs="Times New Roman"/>
      <w:b/>
      <w:sz w:val="32"/>
      <w:szCs w:val="20"/>
    </w:rPr>
  </w:style>
  <w:style w:type="paragraph" w:styleId="5">
    <w:name w:val="heading 4"/>
    <w:basedOn w:val="1"/>
    <w:next w:val="1"/>
    <w:link w:val="33"/>
    <w:qFormat/>
    <w:uiPriority w:val="1"/>
    <w:pPr>
      <w:ind w:left="120"/>
      <w:jc w:val="left"/>
      <w:outlineLvl w:val="3"/>
    </w:pPr>
    <w:rPr>
      <w:rFonts w:ascii="宋体" w:hAnsi="宋体" w:eastAsia="宋体" w:cs="Times New Roman"/>
      <w:b/>
      <w:bCs/>
      <w:kern w:val="0"/>
      <w:sz w:val="28"/>
      <w:szCs w:val="28"/>
      <w:lang w:eastAsia="en-US"/>
    </w:rPr>
  </w:style>
  <w:style w:type="paragraph" w:styleId="6">
    <w:name w:val="heading 5"/>
    <w:basedOn w:val="1"/>
    <w:next w:val="1"/>
    <w:link w:val="34"/>
    <w:unhideWhenUsed/>
    <w:qFormat/>
    <w:uiPriority w:val="1"/>
    <w:pPr>
      <w:keepNext/>
      <w:keepLines/>
      <w:spacing w:before="280" w:after="290" w:line="376" w:lineRule="auto"/>
      <w:outlineLvl w:val="4"/>
    </w:pPr>
    <w:rPr>
      <w:rFonts w:ascii="等线" w:hAnsi="等线" w:eastAsia="等线" w:cs="Times New Roman"/>
      <w:b/>
      <w:bCs/>
      <w:sz w:val="28"/>
      <w:szCs w:val="28"/>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7">
    <w:name w:val="annotation text"/>
    <w:basedOn w:val="1"/>
    <w:link w:val="25"/>
    <w:unhideWhenUsed/>
    <w:qFormat/>
    <w:uiPriority w:val="0"/>
    <w:pPr>
      <w:jc w:val="left"/>
    </w:pPr>
  </w:style>
  <w:style w:type="paragraph" w:styleId="8">
    <w:name w:val="Body Text"/>
    <w:basedOn w:val="1"/>
    <w:link w:val="35"/>
    <w:qFormat/>
    <w:uiPriority w:val="0"/>
    <w:pPr>
      <w:spacing w:before="53"/>
      <w:ind w:left="120"/>
      <w:jc w:val="left"/>
    </w:pPr>
    <w:rPr>
      <w:rFonts w:ascii="宋体" w:hAnsi="宋体" w:eastAsia="宋体" w:cs="Times New Roman"/>
      <w:kern w:val="0"/>
      <w:sz w:val="24"/>
      <w:szCs w:val="24"/>
      <w:lang w:eastAsia="en-US"/>
    </w:rPr>
  </w:style>
  <w:style w:type="paragraph" w:styleId="9">
    <w:name w:val="Plain Text"/>
    <w:basedOn w:val="1"/>
    <w:link w:val="36"/>
    <w:qFormat/>
    <w:uiPriority w:val="0"/>
    <w:rPr>
      <w:rFonts w:ascii="宋体" w:hAnsi="Courier New" w:eastAsia="宋体" w:cs="Courier New"/>
      <w:szCs w:val="21"/>
    </w:rPr>
  </w:style>
  <w:style w:type="paragraph" w:styleId="10">
    <w:name w:val="Date"/>
    <w:basedOn w:val="1"/>
    <w:next w:val="1"/>
    <w:link w:val="37"/>
    <w:unhideWhenUsed/>
    <w:qFormat/>
    <w:uiPriority w:val="99"/>
    <w:pPr>
      <w:ind w:left="100" w:leftChars="2500"/>
    </w:pPr>
    <w:rPr>
      <w:rFonts w:ascii="等线" w:hAnsi="等线" w:eastAsia="等线" w:cs="Times New Roman"/>
    </w:rPr>
  </w:style>
  <w:style w:type="paragraph" w:styleId="11">
    <w:name w:val="Balloon Text"/>
    <w:basedOn w:val="1"/>
    <w:link w:val="27"/>
    <w:unhideWhenUsed/>
    <w:qFormat/>
    <w:uiPriority w:val="99"/>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2"/>
    <w:basedOn w:val="1"/>
    <w:link w:val="125"/>
    <w:qFormat/>
    <w:uiPriority w:val="0"/>
    <w:pPr>
      <w:spacing w:after="120" w:line="480" w:lineRule="auto"/>
    </w:pPr>
    <w:rPr>
      <w:rFonts w:ascii="Calibri" w:hAnsi="Calibri" w:eastAsia="宋体" w:cs="Times New Roman"/>
    </w:rPr>
  </w:style>
  <w:style w:type="paragraph" w:styleId="15">
    <w:name w:val="HTML Preformatted"/>
    <w:basedOn w:val="1"/>
    <w:link w:val="39"/>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6">
    <w:name w:val="Normal (Web)"/>
    <w:basedOn w:val="1"/>
    <w:qFormat/>
    <w:uiPriority w:val="0"/>
    <w:pPr>
      <w:widowControl/>
      <w:spacing w:before="100" w:beforeAutospacing="1" w:after="100" w:afterAutospacing="1"/>
      <w:jc w:val="left"/>
    </w:pPr>
    <w:rPr>
      <w:rFonts w:ascii="宋体" w:hAnsi="宋体" w:eastAsia="等线" w:cs="宋体"/>
      <w:color w:val="000000"/>
      <w:kern w:val="0"/>
      <w:sz w:val="18"/>
      <w:szCs w:val="18"/>
    </w:rPr>
  </w:style>
  <w:style w:type="paragraph" w:styleId="17">
    <w:name w:val="annotation subject"/>
    <w:basedOn w:val="7"/>
    <w:next w:val="7"/>
    <w:link w:val="26"/>
    <w:unhideWhenUsed/>
    <w:qFormat/>
    <w:uiPriority w:val="0"/>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unhideWhenUsed/>
    <w:qFormat/>
    <w:uiPriority w:val="99"/>
    <w:rPr>
      <w:color w:val="800080"/>
      <w:u w:val="single"/>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character" w:styleId="24">
    <w:name w:val="annotation reference"/>
    <w:basedOn w:val="20"/>
    <w:unhideWhenUsed/>
    <w:qFormat/>
    <w:uiPriority w:val="0"/>
    <w:rPr>
      <w:sz w:val="21"/>
      <w:szCs w:val="21"/>
    </w:rPr>
  </w:style>
  <w:style w:type="character" w:customStyle="1" w:styleId="25">
    <w:name w:val="批注文字 字符"/>
    <w:basedOn w:val="20"/>
    <w:link w:val="7"/>
    <w:qFormat/>
    <w:uiPriority w:val="0"/>
  </w:style>
  <w:style w:type="character" w:customStyle="1" w:styleId="26">
    <w:name w:val="批注主题 字符"/>
    <w:basedOn w:val="25"/>
    <w:link w:val="17"/>
    <w:semiHidden/>
    <w:qFormat/>
    <w:uiPriority w:val="99"/>
    <w:rPr>
      <w:b/>
      <w:bCs/>
    </w:rPr>
  </w:style>
  <w:style w:type="character" w:customStyle="1" w:styleId="27">
    <w:name w:val="批注框文本 字符"/>
    <w:basedOn w:val="20"/>
    <w:link w:val="11"/>
    <w:qFormat/>
    <w:uiPriority w:val="99"/>
    <w:rPr>
      <w:sz w:val="18"/>
      <w:szCs w:val="18"/>
    </w:rPr>
  </w:style>
  <w:style w:type="character" w:customStyle="1" w:styleId="28">
    <w:name w:val="页眉 字符"/>
    <w:basedOn w:val="20"/>
    <w:link w:val="13"/>
    <w:qFormat/>
    <w:uiPriority w:val="0"/>
    <w:rPr>
      <w:sz w:val="18"/>
      <w:szCs w:val="18"/>
    </w:rPr>
  </w:style>
  <w:style w:type="character" w:customStyle="1" w:styleId="29">
    <w:name w:val="页脚 字符"/>
    <w:basedOn w:val="20"/>
    <w:link w:val="12"/>
    <w:qFormat/>
    <w:uiPriority w:val="0"/>
    <w:rPr>
      <w:sz w:val="18"/>
      <w:szCs w:val="18"/>
    </w:rPr>
  </w:style>
  <w:style w:type="character" w:customStyle="1" w:styleId="30">
    <w:name w:val="标题 1 字符"/>
    <w:basedOn w:val="20"/>
    <w:link w:val="2"/>
    <w:qFormat/>
    <w:uiPriority w:val="0"/>
    <w:rPr>
      <w:rFonts w:ascii="宋体" w:hAnsi="宋体" w:eastAsia="宋体" w:cs="Times New Roman"/>
      <w:b/>
      <w:bCs/>
      <w:kern w:val="0"/>
      <w:sz w:val="32"/>
      <w:szCs w:val="32"/>
      <w:lang w:eastAsia="en-US"/>
    </w:rPr>
  </w:style>
  <w:style w:type="character" w:customStyle="1" w:styleId="31">
    <w:name w:val="标题 2 字符"/>
    <w:basedOn w:val="20"/>
    <w:link w:val="3"/>
    <w:qFormat/>
    <w:uiPriority w:val="0"/>
    <w:rPr>
      <w:rFonts w:ascii="Arial Unicode MS" w:hAnsi="Arial Unicode MS" w:eastAsia="Arial Unicode MS" w:cs="Times New Roman"/>
      <w:kern w:val="0"/>
      <w:sz w:val="32"/>
      <w:szCs w:val="32"/>
      <w:lang w:eastAsia="en-US"/>
    </w:rPr>
  </w:style>
  <w:style w:type="character" w:customStyle="1" w:styleId="32">
    <w:name w:val="标题 3 字符"/>
    <w:basedOn w:val="20"/>
    <w:link w:val="4"/>
    <w:qFormat/>
    <w:uiPriority w:val="0"/>
    <w:rPr>
      <w:rFonts w:ascii="Times New Roman" w:hAnsi="Times New Roman" w:eastAsia="宋体" w:cs="Times New Roman"/>
      <w:b/>
      <w:sz w:val="32"/>
      <w:szCs w:val="20"/>
    </w:rPr>
  </w:style>
  <w:style w:type="character" w:customStyle="1" w:styleId="33">
    <w:name w:val="标题 4 字符"/>
    <w:basedOn w:val="20"/>
    <w:link w:val="5"/>
    <w:qFormat/>
    <w:uiPriority w:val="1"/>
    <w:rPr>
      <w:rFonts w:ascii="宋体" w:hAnsi="宋体" w:eastAsia="宋体" w:cs="Times New Roman"/>
      <w:b/>
      <w:bCs/>
      <w:kern w:val="0"/>
      <w:sz w:val="28"/>
      <w:szCs w:val="28"/>
      <w:lang w:eastAsia="en-US"/>
    </w:rPr>
  </w:style>
  <w:style w:type="character" w:customStyle="1" w:styleId="34">
    <w:name w:val="标题 5 字符"/>
    <w:basedOn w:val="20"/>
    <w:link w:val="6"/>
    <w:qFormat/>
    <w:uiPriority w:val="1"/>
    <w:rPr>
      <w:rFonts w:ascii="等线" w:hAnsi="等线" w:eastAsia="等线" w:cs="Times New Roman"/>
      <w:b/>
      <w:bCs/>
      <w:sz w:val="28"/>
      <w:szCs w:val="28"/>
    </w:rPr>
  </w:style>
  <w:style w:type="character" w:customStyle="1" w:styleId="35">
    <w:name w:val="正文文本 字符"/>
    <w:basedOn w:val="20"/>
    <w:link w:val="8"/>
    <w:qFormat/>
    <w:uiPriority w:val="0"/>
    <w:rPr>
      <w:rFonts w:ascii="宋体" w:hAnsi="宋体" w:eastAsia="宋体" w:cs="Times New Roman"/>
      <w:kern w:val="0"/>
      <w:sz w:val="24"/>
      <w:szCs w:val="24"/>
      <w:lang w:eastAsia="en-US"/>
    </w:rPr>
  </w:style>
  <w:style w:type="character" w:customStyle="1" w:styleId="36">
    <w:name w:val="纯文本 字符"/>
    <w:basedOn w:val="20"/>
    <w:link w:val="9"/>
    <w:qFormat/>
    <w:uiPriority w:val="0"/>
    <w:rPr>
      <w:rFonts w:ascii="宋体" w:hAnsi="Courier New" w:eastAsia="宋体" w:cs="Courier New"/>
      <w:szCs w:val="21"/>
    </w:rPr>
  </w:style>
  <w:style w:type="character" w:customStyle="1" w:styleId="37">
    <w:name w:val="日期 字符"/>
    <w:basedOn w:val="20"/>
    <w:link w:val="10"/>
    <w:qFormat/>
    <w:uiPriority w:val="99"/>
    <w:rPr>
      <w:rFonts w:ascii="等线" w:hAnsi="等线" w:eastAsia="等线" w:cs="Times New Roman"/>
    </w:rPr>
  </w:style>
  <w:style w:type="character" w:customStyle="1" w:styleId="38">
    <w:name w:val="正文文本 2 字符"/>
    <w:basedOn w:val="20"/>
    <w:semiHidden/>
    <w:qFormat/>
    <w:uiPriority w:val="99"/>
  </w:style>
  <w:style w:type="character" w:customStyle="1" w:styleId="39">
    <w:name w:val="HTML 预设格式 字符"/>
    <w:basedOn w:val="20"/>
    <w:link w:val="15"/>
    <w:uiPriority w:val="99"/>
    <w:rPr>
      <w:rFonts w:ascii="宋体" w:hAnsi="宋体" w:eastAsia="宋体" w:cs="宋体"/>
      <w:kern w:val="0"/>
      <w:sz w:val="24"/>
      <w:szCs w:val="24"/>
    </w:rPr>
  </w:style>
  <w:style w:type="paragraph" w:customStyle="1" w:styleId="40">
    <w:name w:val="Table Paragraph"/>
    <w:basedOn w:val="1"/>
    <w:qFormat/>
    <w:uiPriority w:val="1"/>
    <w:pPr>
      <w:jc w:val="left"/>
    </w:pPr>
    <w:rPr>
      <w:rFonts w:ascii="等线" w:hAnsi="等线" w:eastAsia="等线" w:cs="Times New Roman"/>
      <w:kern w:val="0"/>
      <w:sz w:val="22"/>
      <w:lang w:eastAsia="en-US"/>
    </w:rPr>
  </w:style>
  <w:style w:type="table" w:customStyle="1" w:styleId="41">
    <w:name w:val="Table Normal"/>
    <w:unhideWhenUsed/>
    <w:qFormat/>
    <w:uiPriority w:val="2"/>
    <w:pPr>
      <w:widowControl w:val="0"/>
    </w:pPr>
    <w:rPr>
      <w:sz w:val="22"/>
      <w:lang w:eastAsia="en-US"/>
    </w:rPr>
    <w:tblPr>
      <w:tblCellMar>
        <w:top w:w="0" w:type="dxa"/>
        <w:left w:w="0" w:type="dxa"/>
        <w:bottom w:w="0" w:type="dxa"/>
        <w:right w:w="0" w:type="dxa"/>
      </w:tblCellMar>
    </w:tblPr>
  </w:style>
  <w:style w:type="paragraph" w:customStyle="1" w:styleId="42">
    <w:name w:val="列出段落1"/>
    <w:basedOn w:val="1"/>
    <w:qFormat/>
    <w:uiPriority w:val="1"/>
    <w:pPr>
      <w:jc w:val="left"/>
    </w:pPr>
    <w:rPr>
      <w:rFonts w:ascii="等线" w:hAnsi="等线" w:eastAsia="等线" w:cs="Times New Roman"/>
      <w:kern w:val="0"/>
      <w:sz w:val="22"/>
      <w:lang w:eastAsia="en-US"/>
    </w:rPr>
  </w:style>
  <w:style w:type="table" w:customStyle="1" w:styleId="43">
    <w:name w:val="网格型1"/>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4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51">
    <w:name w:val="xl68"/>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2"/>
    </w:rPr>
  </w:style>
  <w:style w:type="paragraph" w:customStyle="1" w:styleId="53">
    <w:name w:val="xl70"/>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eastAsia="宋体" w:cs="宋体"/>
      <w:color w:val="000000"/>
      <w:kern w:val="0"/>
      <w:sz w:val="20"/>
      <w:szCs w:val="20"/>
    </w:rPr>
  </w:style>
  <w:style w:type="table" w:customStyle="1" w:styleId="54">
    <w:name w:val="网格型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5"/>
    <w:basedOn w:val="1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font6"/>
    <w:basedOn w:val="1"/>
    <w:qFormat/>
    <w:uiPriority w:val="0"/>
    <w:pPr>
      <w:widowControl/>
      <w:spacing w:before="100" w:beforeAutospacing="1" w:after="100" w:afterAutospacing="1"/>
      <w:jc w:val="left"/>
    </w:pPr>
    <w:rPr>
      <w:rFonts w:ascii="Times New Roman" w:hAnsi="Times New Roman" w:eastAsia="宋体" w:cs="Times New Roman"/>
      <w:kern w:val="0"/>
      <w:sz w:val="36"/>
      <w:szCs w:val="36"/>
    </w:rPr>
  </w:style>
  <w:style w:type="paragraph" w:customStyle="1" w:styleId="57">
    <w:name w:val="font7"/>
    <w:basedOn w:val="1"/>
    <w:qFormat/>
    <w:uiPriority w:val="0"/>
    <w:pPr>
      <w:widowControl/>
      <w:spacing w:before="100" w:beforeAutospacing="1" w:after="100" w:afterAutospacing="1"/>
      <w:jc w:val="left"/>
    </w:pPr>
    <w:rPr>
      <w:rFonts w:ascii="Courier New" w:hAnsi="Courier New" w:eastAsia="宋体" w:cs="Courier New"/>
      <w:kern w:val="0"/>
      <w:sz w:val="24"/>
      <w:szCs w:val="24"/>
    </w:rPr>
  </w:style>
  <w:style w:type="paragraph" w:customStyle="1" w:styleId="58">
    <w:name w:val="font8"/>
    <w:basedOn w:val="1"/>
    <w:qFormat/>
    <w:uiPriority w:val="0"/>
    <w:pPr>
      <w:widowControl/>
      <w:spacing w:before="100" w:beforeAutospacing="1" w:after="100" w:afterAutospacing="1"/>
      <w:jc w:val="left"/>
    </w:pPr>
    <w:rPr>
      <w:rFonts w:ascii="Times New Roman" w:hAnsi="Times New Roman" w:eastAsia="宋体" w:cs="Times New Roman"/>
      <w:kern w:val="0"/>
      <w:sz w:val="24"/>
      <w:szCs w:val="24"/>
    </w:rPr>
  </w:style>
  <w:style w:type="paragraph" w:customStyle="1" w:styleId="59">
    <w:name w:val="font9"/>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63"/>
    <w:basedOn w:val="1"/>
    <w:qFormat/>
    <w:uiPriority w:val="0"/>
    <w:pPr>
      <w:widowControl/>
      <w:spacing w:before="100" w:beforeAutospacing="1" w:after="100" w:afterAutospacing="1"/>
      <w:jc w:val="right"/>
    </w:pPr>
    <w:rPr>
      <w:rFonts w:ascii="Courier New" w:hAnsi="Courier New" w:eastAsia="宋体" w:cs="Courier New"/>
      <w:kern w:val="0"/>
      <w:sz w:val="24"/>
      <w:szCs w:val="24"/>
    </w:rPr>
  </w:style>
  <w:style w:type="paragraph" w:customStyle="1" w:styleId="61">
    <w:name w:val="xl64"/>
    <w:basedOn w:val="1"/>
    <w:qFormat/>
    <w:uiPriority w:val="0"/>
    <w:pPr>
      <w:widowControl/>
      <w:pBdr>
        <w:left w:val="double" w:color="auto" w:sz="6" w:space="0"/>
        <w:bottom w:val="single" w:color="auto" w:sz="4" w:space="0"/>
        <w:right w:val="single" w:color="auto" w:sz="4" w:space="0"/>
      </w:pBdr>
      <w:spacing w:before="100" w:beforeAutospacing="1" w:after="100" w:afterAutospacing="1"/>
      <w:jc w:val="center"/>
    </w:pPr>
    <w:rPr>
      <w:rFonts w:ascii="Courier New" w:hAnsi="Courier New" w:eastAsia="宋体" w:cs="Courier New"/>
      <w:kern w:val="0"/>
      <w:sz w:val="22"/>
    </w:rPr>
  </w:style>
  <w:style w:type="paragraph" w:customStyle="1" w:styleId="62">
    <w:name w:val="xl71"/>
    <w:basedOn w:val="1"/>
    <w:qFormat/>
    <w:uiPriority w:val="0"/>
    <w:pPr>
      <w:widowControl/>
      <w:pBdr>
        <w:top w:val="single" w:color="auto" w:sz="4" w:space="0"/>
        <w:left w:val="double" w:color="auto" w:sz="6" w:space="0"/>
        <w:bottom w:val="double" w:color="auto" w:sz="6" w:space="0"/>
        <w:right w:val="single" w:color="auto" w:sz="4" w:space="0"/>
      </w:pBdr>
      <w:spacing w:before="100" w:beforeAutospacing="1" w:after="100" w:afterAutospacing="1"/>
      <w:textAlignment w:val="top"/>
    </w:pPr>
    <w:rPr>
      <w:rFonts w:ascii="Times New Roman" w:hAnsi="Times New Roman" w:eastAsia="宋体" w:cs="Times New Roman"/>
      <w:kern w:val="0"/>
      <w:sz w:val="22"/>
    </w:rPr>
  </w:style>
  <w:style w:type="paragraph" w:customStyle="1" w:styleId="63">
    <w:name w:val="xl72"/>
    <w:basedOn w:val="1"/>
    <w:qFormat/>
    <w:uiPriority w:val="0"/>
    <w:pPr>
      <w:widowControl/>
      <w:pBdr>
        <w:top w:val="single" w:color="auto" w:sz="4" w:space="0"/>
        <w:left w:val="single" w:color="auto" w:sz="4" w:space="0"/>
        <w:bottom w:val="double" w:color="auto" w:sz="6" w:space="0"/>
        <w:right w:val="single" w:color="auto" w:sz="4" w:space="0"/>
      </w:pBdr>
      <w:spacing w:before="100" w:beforeAutospacing="1" w:after="100" w:afterAutospacing="1"/>
      <w:textAlignment w:val="top"/>
    </w:pPr>
    <w:rPr>
      <w:rFonts w:ascii="Times New Roman" w:hAnsi="Times New Roman" w:eastAsia="宋体" w:cs="Times New Roman"/>
      <w:kern w:val="0"/>
      <w:sz w:val="22"/>
    </w:rPr>
  </w:style>
  <w:style w:type="paragraph" w:customStyle="1" w:styleId="64">
    <w:name w:val="xl73"/>
    <w:basedOn w:val="1"/>
    <w:qFormat/>
    <w:uiPriority w:val="0"/>
    <w:pPr>
      <w:widowControl/>
      <w:pBdr>
        <w:top w:val="single" w:color="auto" w:sz="4" w:space="0"/>
        <w:left w:val="single" w:color="auto" w:sz="4" w:space="18"/>
        <w:bottom w:val="double" w:color="auto" w:sz="6" w:space="0"/>
        <w:right w:val="single" w:color="auto" w:sz="4" w:space="0"/>
      </w:pBdr>
      <w:spacing w:before="100" w:beforeAutospacing="1" w:after="100" w:afterAutospacing="1"/>
      <w:ind w:firstLine="100" w:firstLineChars="100"/>
      <w:jc w:val="left"/>
    </w:pPr>
    <w:rPr>
      <w:rFonts w:ascii="Times New Roman" w:hAnsi="Times New Roman" w:eastAsia="宋体" w:cs="Times New Roman"/>
      <w:kern w:val="0"/>
      <w:sz w:val="22"/>
    </w:rPr>
  </w:style>
  <w:style w:type="paragraph" w:customStyle="1" w:styleId="65">
    <w:name w:val="xl74"/>
    <w:basedOn w:val="1"/>
    <w:qFormat/>
    <w:uiPriority w:val="0"/>
    <w:pPr>
      <w:widowControl/>
      <w:pBdr>
        <w:top w:val="double" w:color="auto" w:sz="6" w:space="0"/>
        <w:left w:val="double" w:color="auto" w:sz="6" w:space="0"/>
        <w:bottom w:val="single" w:color="auto" w:sz="4" w:space="0"/>
        <w:right w:val="single" w:color="auto" w:sz="4" w:space="0"/>
      </w:pBdr>
      <w:spacing w:before="100" w:beforeAutospacing="1" w:after="100" w:afterAutospacing="1"/>
      <w:jc w:val="center"/>
    </w:pPr>
    <w:rPr>
      <w:rFonts w:ascii="Courier New" w:hAnsi="Courier New" w:eastAsia="宋体" w:cs="Courier New"/>
      <w:kern w:val="0"/>
      <w:sz w:val="24"/>
      <w:szCs w:val="24"/>
    </w:rPr>
  </w:style>
  <w:style w:type="paragraph" w:customStyle="1" w:styleId="66">
    <w:name w:val="xl75"/>
    <w:basedOn w:val="1"/>
    <w:qFormat/>
    <w:uiPriority w:val="0"/>
    <w:pPr>
      <w:widowControl/>
      <w:pBdr>
        <w:top w:val="double" w:color="auto" w:sz="6"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eastAsia="宋体" w:cs="Courier New"/>
      <w:kern w:val="0"/>
      <w:sz w:val="24"/>
      <w:szCs w:val="24"/>
    </w:rPr>
  </w:style>
  <w:style w:type="paragraph" w:customStyle="1" w:styleId="67">
    <w:name w:val="xl76"/>
    <w:basedOn w:val="1"/>
    <w:qFormat/>
    <w:uiPriority w:val="0"/>
    <w:pPr>
      <w:widowControl/>
      <w:pBdr>
        <w:top w:val="double" w:color="auto" w:sz="6" w:space="0"/>
        <w:left w:val="single" w:color="auto" w:sz="4" w:space="0"/>
        <w:bottom w:val="single" w:color="auto" w:sz="4" w:space="0"/>
        <w:right w:val="single" w:color="auto" w:sz="4" w:space="0"/>
      </w:pBdr>
      <w:spacing w:before="100" w:beforeAutospacing="1" w:after="100" w:afterAutospacing="1"/>
      <w:jc w:val="left"/>
    </w:pPr>
    <w:rPr>
      <w:rFonts w:ascii="Courier New" w:hAnsi="Courier New" w:eastAsia="宋体" w:cs="Courier New"/>
      <w:kern w:val="0"/>
      <w:sz w:val="24"/>
      <w:szCs w:val="24"/>
    </w:rPr>
  </w:style>
  <w:style w:type="paragraph" w:customStyle="1" w:styleId="68">
    <w:name w:val="xl77"/>
    <w:basedOn w:val="1"/>
    <w:qFormat/>
    <w:uiPriority w:val="0"/>
    <w:pPr>
      <w:widowControl/>
      <w:spacing w:before="100" w:beforeAutospacing="1" w:after="100" w:afterAutospacing="1"/>
      <w:jc w:val="left"/>
    </w:pPr>
    <w:rPr>
      <w:rFonts w:ascii="Courier New" w:hAnsi="Courier New" w:eastAsia="宋体" w:cs="Courier New"/>
      <w:kern w:val="0"/>
      <w:sz w:val="24"/>
      <w:szCs w:val="24"/>
    </w:rPr>
  </w:style>
  <w:style w:type="paragraph" w:customStyle="1" w:styleId="69">
    <w:name w:val="xl78"/>
    <w:basedOn w:val="1"/>
    <w:qFormat/>
    <w:uiPriority w:val="0"/>
    <w:pPr>
      <w:widowControl/>
      <w:pBdr>
        <w:bottom w:val="double" w:color="auto" w:sz="6" w:space="0"/>
      </w:pBdr>
      <w:spacing w:before="100" w:beforeAutospacing="1" w:after="100" w:afterAutospacing="1"/>
      <w:jc w:val="right"/>
    </w:pPr>
    <w:rPr>
      <w:rFonts w:ascii="宋体" w:hAnsi="宋体" w:eastAsia="宋体" w:cs="宋体"/>
      <w:b/>
      <w:bCs/>
      <w:kern w:val="0"/>
      <w:sz w:val="18"/>
      <w:szCs w:val="18"/>
    </w:rPr>
  </w:style>
  <w:style w:type="paragraph" w:customStyle="1" w:styleId="70">
    <w:name w:val="xl79"/>
    <w:basedOn w:val="1"/>
    <w:qFormat/>
    <w:uiPriority w:val="0"/>
    <w:pPr>
      <w:widowControl/>
      <w:pBdr>
        <w:bottom w:val="double" w:color="auto" w:sz="6" w:space="0"/>
      </w:pBdr>
      <w:spacing w:before="100" w:beforeAutospacing="1" w:after="100" w:afterAutospacing="1"/>
      <w:jc w:val="left"/>
    </w:pPr>
    <w:rPr>
      <w:rFonts w:ascii="宋体" w:hAnsi="宋体" w:eastAsia="宋体" w:cs="宋体"/>
      <w:b/>
      <w:bCs/>
      <w:kern w:val="0"/>
      <w:sz w:val="22"/>
    </w:rPr>
  </w:style>
  <w:style w:type="paragraph" w:customStyle="1" w:styleId="71">
    <w:name w:val="xl80"/>
    <w:basedOn w:val="1"/>
    <w:qFormat/>
    <w:uiPriority w:val="0"/>
    <w:pPr>
      <w:widowControl/>
      <w:spacing w:before="100" w:beforeAutospacing="1" w:after="100" w:afterAutospacing="1"/>
      <w:jc w:val="center"/>
    </w:pPr>
    <w:rPr>
      <w:rFonts w:ascii="黑体" w:hAnsi="黑体" w:eastAsia="黑体" w:cs="宋体"/>
      <w:kern w:val="0"/>
      <w:sz w:val="36"/>
      <w:szCs w:val="36"/>
    </w:rPr>
  </w:style>
  <w:style w:type="paragraph" w:customStyle="1" w:styleId="72">
    <w:name w:val="列出段落11"/>
    <w:basedOn w:val="1"/>
    <w:qFormat/>
    <w:uiPriority w:val="99"/>
    <w:pPr>
      <w:jc w:val="left"/>
    </w:pPr>
    <w:rPr>
      <w:rFonts w:ascii="等线" w:hAnsi="等线" w:eastAsia="等线" w:cs="Times New Roman"/>
      <w:kern w:val="0"/>
      <w:sz w:val="22"/>
      <w:lang w:eastAsia="en-US"/>
    </w:rPr>
  </w:style>
  <w:style w:type="paragraph" w:customStyle="1" w:styleId="73">
    <w:name w:val="Default"/>
    <w:qFormat/>
    <w:uiPriority w:val="99"/>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74">
    <w:name w:val="引用1"/>
    <w:basedOn w:val="1"/>
    <w:next w:val="1"/>
    <w:link w:val="75"/>
    <w:qFormat/>
    <w:uiPriority w:val="29"/>
    <w:pPr>
      <w:jc w:val="left"/>
    </w:pPr>
    <w:rPr>
      <w:rFonts w:ascii="Calibri" w:hAnsi="Calibri" w:eastAsia="宋体" w:cs="Times New Roman"/>
      <w:i/>
      <w:iCs/>
      <w:color w:val="000000" w:themeColor="text1"/>
      <w:kern w:val="0"/>
      <w:sz w:val="22"/>
      <w:lang w:eastAsia="en-US"/>
      <w14:textFill>
        <w14:solidFill>
          <w14:schemeClr w14:val="tx1"/>
        </w14:solidFill>
      </w14:textFill>
    </w:rPr>
  </w:style>
  <w:style w:type="character" w:customStyle="1" w:styleId="75">
    <w:name w:val="引用 字符"/>
    <w:basedOn w:val="20"/>
    <w:link w:val="74"/>
    <w:qFormat/>
    <w:uiPriority w:val="29"/>
    <w:rPr>
      <w:rFonts w:ascii="Calibri" w:hAnsi="Calibri" w:eastAsia="宋体" w:cs="Times New Roman"/>
      <w:i/>
      <w:iCs/>
      <w:color w:val="000000" w:themeColor="text1"/>
      <w:kern w:val="0"/>
      <w:sz w:val="22"/>
      <w:lang w:eastAsia="en-US"/>
      <w14:textFill>
        <w14:solidFill>
          <w14:schemeClr w14:val="tx1"/>
        </w14:solidFill>
      </w14:textFill>
    </w:rPr>
  </w:style>
  <w:style w:type="paragraph" w:customStyle="1" w:styleId="76">
    <w:name w:val="标题 11"/>
    <w:basedOn w:val="1"/>
    <w:next w:val="2"/>
    <w:qFormat/>
    <w:uiPriority w:val="1"/>
    <w:pPr>
      <w:ind w:left="120"/>
      <w:jc w:val="left"/>
      <w:outlineLvl w:val="0"/>
    </w:pPr>
    <w:rPr>
      <w:rFonts w:ascii="宋体" w:hAnsi="宋体" w:eastAsia="等线" w:cs="Times New Roman"/>
      <w:b/>
      <w:bCs/>
      <w:sz w:val="32"/>
      <w:szCs w:val="32"/>
      <w:lang w:eastAsia="en-US"/>
    </w:rPr>
  </w:style>
  <w:style w:type="paragraph" w:customStyle="1" w:styleId="77">
    <w:name w:val="标题 21"/>
    <w:basedOn w:val="1"/>
    <w:next w:val="3"/>
    <w:qFormat/>
    <w:uiPriority w:val="1"/>
    <w:pPr>
      <w:ind w:left="2754"/>
      <w:jc w:val="left"/>
      <w:outlineLvl w:val="1"/>
    </w:pPr>
    <w:rPr>
      <w:rFonts w:ascii="Arial Unicode MS" w:hAnsi="Arial Unicode MS" w:eastAsia="Arial Unicode MS" w:cs="Times New Roman"/>
      <w:sz w:val="32"/>
      <w:szCs w:val="32"/>
      <w:lang w:eastAsia="en-US"/>
    </w:rPr>
  </w:style>
  <w:style w:type="paragraph" w:customStyle="1" w:styleId="78">
    <w:name w:val="标题 41"/>
    <w:basedOn w:val="1"/>
    <w:next w:val="5"/>
    <w:qFormat/>
    <w:uiPriority w:val="1"/>
    <w:pPr>
      <w:ind w:left="120"/>
      <w:jc w:val="left"/>
      <w:outlineLvl w:val="3"/>
    </w:pPr>
    <w:rPr>
      <w:rFonts w:ascii="宋体" w:hAnsi="宋体" w:eastAsia="等线" w:cs="Times New Roman"/>
      <w:b/>
      <w:bCs/>
      <w:sz w:val="28"/>
      <w:szCs w:val="28"/>
      <w:lang w:eastAsia="en-US"/>
    </w:rPr>
  </w:style>
  <w:style w:type="paragraph" w:customStyle="1" w:styleId="79">
    <w:name w:val="标题 51"/>
    <w:basedOn w:val="1"/>
    <w:next w:val="1"/>
    <w:unhideWhenUsed/>
    <w:qFormat/>
    <w:uiPriority w:val="1"/>
    <w:pPr>
      <w:keepNext/>
      <w:keepLines/>
      <w:spacing w:before="280" w:after="290" w:line="376" w:lineRule="auto"/>
      <w:outlineLvl w:val="4"/>
    </w:pPr>
    <w:rPr>
      <w:rFonts w:ascii="等线" w:hAnsi="等线" w:eastAsia="等线" w:cs="Times New Roman"/>
      <w:b/>
      <w:bCs/>
      <w:sz w:val="28"/>
      <w:szCs w:val="28"/>
    </w:rPr>
  </w:style>
  <w:style w:type="paragraph" w:customStyle="1" w:styleId="80">
    <w:name w:val="普通(网站)1"/>
    <w:basedOn w:val="1"/>
    <w:next w:val="16"/>
    <w:qFormat/>
    <w:uiPriority w:val="0"/>
    <w:pPr>
      <w:widowControl/>
      <w:spacing w:before="100" w:beforeAutospacing="1" w:after="100" w:afterAutospacing="1"/>
      <w:jc w:val="left"/>
    </w:pPr>
    <w:rPr>
      <w:rFonts w:ascii="宋体" w:hAnsi="宋体" w:eastAsia="等线" w:cs="宋体"/>
      <w:color w:val="000000"/>
      <w:kern w:val="0"/>
      <w:sz w:val="18"/>
      <w:szCs w:val="18"/>
    </w:rPr>
  </w:style>
  <w:style w:type="paragraph" w:customStyle="1" w:styleId="81">
    <w:name w:val="正文文本1"/>
    <w:basedOn w:val="1"/>
    <w:next w:val="8"/>
    <w:qFormat/>
    <w:uiPriority w:val="1"/>
    <w:pPr>
      <w:spacing w:before="53"/>
      <w:ind w:left="120"/>
      <w:jc w:val="left"/>
    </w:pPr>
    <w:rPr>
      <w:rFonts w:ascii="宋体" w:hAnsi="宋体" w:eastAsia="等线" w:cs="Times New Roman"/>
      <w:sz w:val="24"/>
      <w:szCs w:val="24"/>
      <w:lang w:eastAsia="en-US"/>
    </w:rPr>
  </w:style>
  <w:style w:type="table" w:customStyle="1" w:styleId="82">
    <w:name w:val="Table Normal1"/>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character" w:customStyle="1" w:styleId="83">
    <w:name w:val="超链接1"/>
    <w:basedOn w:val="20"/>
    <w:unhideWhenUsed/>
    <w:qFormat/>
    <w:uiPriority w:val="99"/>
    <w:rPr>
      <w:color w:val="0000FF"/>
      <w:u w:val="single"/>
    </w:rPr>
  </w:style>
  <w:style w:type="table" w:customStyle="1" w:styleId="84">
    <w:name w:val="网格型11"/>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批注框文本1"/>
    <w:basedOn w:val="1"/>
    <w:next w:val="11"/>
    <w:unhideWhenUsed/>
    <w:qFormat/>
    <w:uiPriority w:val="99"/>
    <w:pPr>
      <w:jc w:val="left"/>
    </w:pPr>
    <w:rPr>
      <w:rFonts w:ascii="Calibri" w:hAnsi="Calibri" w:eastAsia="宋体" w:cs="Times New Roman"/>
      <w:sz w:val="18"/>
      <w:szCs w:val="18"/>
      <w:lang w:eastAsia="en-US"/>
    </w:rPr>
  </w:style>
  <w:style w:type="table" w:customStyle="1" w:styleId="86">
    <w:name w:val="网格型11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
    <w:name w:val="网格型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
    <w:name w:val="网格型3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网格型4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网格型5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引用11"/>
    <w:basedOn w:val="1"/>
    <w:next w:val="1"/>
    <w:qFormat/>
    <w:uiPriority w:val="29"/>
    <w:pPr>
      <w:jc w:val="left"/>
    </w:pPr>
    <w:rPr>
      <w:rFonts w:ascii="Calibri" w:hAnsi="Calibri" w:eastAsia="宋体" w:cs="Times New Roman"/>
      <w:i/>
      <w:iCs/>
      <w:color w:val="000000"/>
      <w:kern w:val="0"/>
      <w:sz w:val="22"/>
      <w:lang w:eastAsia="en-US"/>
    </w:rPr>
  </w:style>
  <w:style w:type="paragraph" w:customStyle="1" w:styleId="92">
    <w:name w:val="日期1"/>
    <w:basedOn w:val="1"/>
    <w:next w:val="1"/>
    <w:unhideWhenUsed/>
    <w:qFormat/>
    <w:uiPriority w:val="99"/>
    <w:pPr>
      <w:ind w:left="100" w:leftChars="2500"/>
    </w:pPr>
    <w:rPr>
      <w:rFonts w:ascii="等线" w:hAnsi="等线" w:eastAsia="等线" w:cs="Times New Roman"/>
    </w:rPr>
  </w:style>
  <w:style w:type="character" w:customStyle="1" w:styleId="93">
    <w:name w:val="标题 1 字符1"/>
    <w:basedOn w:val="20"/>
    <w:qFormat/>
    <w:uiPriority w:val="9"/>
    <w:rPr>
      <w:b/>
      <w:bCs/>
      <w:kern w:val="44"/>
      <w:sz w:val="44"/>
      <w:szCs w:val="44"/>
    </w:rPr>
  </w:style>
  <w:style w:type="character" w:customStyle="1" w:styleId="94">
    <w:name w:val="标题 2 字符1"/>
    <w:basedOn w:val="20"/>
    <w:semiHidden/>
    <w:qFormat/>
    <w:uiPriority w:val="9"/>
    <w:rPr>
      <w:rFonts w:ascii="等线 Light" w:hAnsi="等线 Light" w:eastAsia="等线 Light" w:cs="Times New Roman"/>
      <w:b/>
      <w:bCs/>
      <w:sz w:val="32"/>
      <w:szCs w:val="32"/>
    </w:rPr>
  </w:style>
  <w:style w:type="character" w:customStyle="1" w:styleId="95">
    <w:name w:val="标题 4 字符1"/>
    <w:basedOn w:val="20"/>
    <w:semiHidden/>
    <w:qFormat/>
    <w:uiPriority w:val="9"/>
    <w:rPr>
      <w:rFonts w:ascii="等线 Light" w:hAnsi="等线 Light" w:eastAsia="等线 Light" w:cs="Times New Roman"/>
      <w:b/>
      <w:bCs/>
      <w:sz w:val="28"/>
      <w:szCs w:val="28"/>
    </w:rPr>
  </w:style>
  <w:style w:type="character" w:customStyle="1" w:styleId="96">
    <w:name w:val="标题 5 字符1"/>
    <w:basedOn w:val="20"/>
    <w:semiHidden/>
    <w:qFormat/>
    <w:uiPriority w:val="9"/>
    <w:rPr>
      <w:b/>
      <w:bCs/>
      <w:sz w:val="28"/>
      <w:szCs w:val="28"/>
    </w:rPr>
  </w:style>
  <w:style w:type="character" w:customStyle="1" w:styleId="97">
    <w:name w:val="正文文本 字符1"/>
    <w:basedOn w:val="20"/>
    <w:semiHidden/>
    <w:qFormat/>
    <w:uiPriority w:val="99"/>
  </w:style>
  <w:style w:type="table" w:customStyle="1" w:styleId="98">
    <w:name w:val="网格型6"/>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批注框文本 字符1"/>
    <w:basedOn w:val="20"/>
    <w:semiHidden/>
    <w:qFormat/>
    <w:uiPriority w:val="99"/>
    <w:rPr>
      <w:sz w:val="18"/>
      <w:szCs w:val="18"/>
    </w:rPr>
  </w:style>
  <w:style w:type="character" w:customStyle="1" w:styleId="100">
    <w:name w:val="引用 字符1"/>
    <w:basedOn w:val="20"/>
    <w:qFormat/>
    <w:uiPriority w:val="29"/>
    <w:rPr>
      <w:i/>
      <w:iCs/>
      <w:color w:val="404040"/>
    </w:rPr>
  </w:style>
  <w:style w:type="character" w:customStyle="1" w:styleId="101">
    <w:name w:val="日期 字符1"/>
    <w:basedOn w:val="20"/>
    <w:semiHidden/>
    <w:qFormat/>
    <w:uiPriority w:val="99"/>
  </w:style>
  <w:style w:type="paragraph" w:customStyle="1" w:styleId="102">
    <w:name w:val="列出段落2"/>
    <w:basedOn w:val="1"/>
    <w:qFormat/>
    <w:uiPriority w:val="99"/>
    <w:pPr>
      <w:ind w:firstLine="420" w:firstLineChars="200"/>
    </w:pPr>
    <w:rPr>
      <w:rFonts w:ascii="Calibri" w:hAnsi="Calibri" w:eastAsia="宋体" w:cs="Times New Roman"/>
    </w:rPr>
  </w:style>
  <w:style w:type="paragraph" w:customStyle="1" w:styleId="103">
    <w:name w:val="_Style 2"/>
    <w:basedOn w:val="1"/>
    <w:qFormat/>
    <w:uiPriority w:val="99"/>
    <w:pPr>
      <w:ind w:firstLine="420" w:firstLineChars="200"/>
    </w:pPr>
    <w:rPr>
      <w:rFonts w:ascii="Calibri" w:hAnsi="Calibri" w:eastAsia="宋体" w:cs="Times New Roman"/>
    </w:rPr>
  </w:style>
  <w:style w:type="paragraph" w:customStyle="1" w:styleId="104">
    <w:name w:val="列出段落21"/>
    <w:basedOn w:val="1"/>
    <w:qFormat/>
    <w:uiPriority w:val="99"/>
    <w:pPr>
      <w:ind w:firstLine="420" w:firstLineChars="200"/>
    </w:pPr>
    <w:rPr>
      <w:rFonts w:ascii="Calibri" w:hAnsi="Calibri" w:eastAsia="宋体" w:cs="Times New Roman"/>
    </w:rPr>
  </w:style>
  <w:style w:type="paragraph" w:customStyle="1" w:styleId="105">
    <w:name w:val="List Paragraph1"/>
    <w:basedOn w:val="1"/>
    <w:qFormat/>
    <w:uiPriority w:val="99"/>
    <w:pPr>
      <w:ind w:firstLine="420" w:firstLineChars="200"/>
    </w:pPr>
    <w:rPr>
      <w:rFonts w:ascii="Calibri" w:hAnsi="Calibri" w:eastAsia="宋体" w:cs="Times New Roman"/>
    </w:rPr>
  </w:style>
  <w:style w:type="character" w:customStyle="1" w:styleId="106">
    <w:name w:val="apple-converted-space"/>
    <w:basedOn w:val="20"/>
    <w:qFormat/>
    <w:uiPriority w:val="0"/>
    <w:rPr>
      <w:rFonts w:cs="Times New Roman"/>
    </w:rPr>
  </w:style>
  <w:style w:type="paragraph" w:customStyle="1" w:styleId="107">
    <w:name w:val="标题 61"/>
    <w:basedOn w:val="1"/>
    <w:qFormat/>
    <w:uiPriority w:val="1"/>
    <w:pPr>
      <w:autoSpaceDE w:val="0"/>
      <w:autoSpaceDN w:val="0"/>
      <w:adjustRightInd w:val="0"/>
      <w:ind w:left="540"/>
      <w:jc w:val="left"/>
      <w:outlineLvl w:val="5"/>
    </w:pPr>
    <w:rPr>
      <w:rFonts w:ascii="Microsoft JhengHei" w:hAnsi="Times New Roman" w:eastAsia="Microsoft JhengHei" w:cs="Microsoft JhengHei"/>
      <w:b/>
      <w:bCs/>
      <w:kern w:val="0"/>
      <w:szCs w:val="21"/>
    </w:rPr>
  </w:style>
  <w:style w:type="table" w:customStyle="1" w:styleId="108">
    <w:name w:val="Table Normal2"/>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table" w:customStyle="1" w:styleId="109">
    <w:name w:val="网格型7"/>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12"/>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2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3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4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
    <w:name w:val="网格型5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引用2"/>
    <w:basedOn w:val="1"/>
    <w:next w:val="1"/>
    <w:qFormat/>
    <w:uiPriority w:val="29"/>
    <w:pPr>
      <w:jc w:val="left"/>
    </w:pPr>
    <w:rPr>
      <w:rFonts w:ascii="Calibri" w:hAnsi="Calibri" w:eastAsia="宋体" w:cs="Times New Roman"/>
      <w:i/>
      <w:iCs/>
      <w:color w:val="000000"/>
      <w:kern w:val="0"/>
      <w:sz w:val="22"/>
      <w:lang w:eastAsia="en-US"/>
    </w:rPr>
  </w:style>
  <w:style w:type="table" w:customStyle="1" w:styleId="116">
    <w:name w:val="Table Normal3"/>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117">
    <w:name w:val="网格型111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8">
    <w:name w:val="页脚 Char"/>
    <w:qFormat/>
    <w:uiPriority w:val="99"/>
    <w:rPr>
      <w:rFonts w:ascii="Calibri" w:hAnsi="Calibri"/>
      <w:kern w:val="2"/>
      <w:sz w:val="18"/>
      <w:szCs w:val="18"/>
    </w:rPr>
  </w:style>
  <w:style w:type="character" w:customStyle="1" w:styleId="119">
    <w:name w:val="正文文本 Char"/>
    <w:qFormat/>
    <w:uiPriority w:val="0"/>
    <w:rPr>
      <w:rFonts w:ascii="宋体" w:hAnsi="宋体"/>
      <w:sz w:val="24"/>
      <w:szCs w:val="24"/>
      <w:lang w:eastAsia="en-US"/>
    </w:rPr>
  </w:style>
  <w:style w:type="character" w:customStyle="1" w:styleId="120">
    <w:name w:val="批注主题 字符1"/>
    <w:qFormat/>
    <w:uiPriority w:val="0"/>
    <w:rPr>
      <w:rFonts w:ascii="Calibri" w:hAnsi="Calibri"/>
      <w:b/>
      <w:bCs/>
      <w:kern w:val="2"/>
      <w:sz w:val="21"/>
      <w:szCs w:val="22"/>
    </w:rPr>
  </w:style>
  <w:style w:type="character" w:customStyle="1" w:styleId="121">
    <w:name w:val="批注文字 Char"/>
    <w:qFormat/>
    <w:uiPriority w:val="0"/>
    <w:rPr>
      <w:rFonts w:ascii="Calibri" w:hAnsi="Calibri"/>
      <w:kern w:val="2"/>
      <w:sz w:val="21"/>
      <w:szCs w:val="22"/>
    </w:rPr>
  </w:style>
  <w:style w:type="character" w:customStyle="1" w:styleId="122">
    <w:name w:val="批注框文本 Char"/>
    <w:qFormat/>
    <w:uiPriority w:val="99"/>
    <w:rPr>
      <w:rFonts w:ascii="Calibri" w:hAnsi="Calibri"/>
      <w:kern w:val="2"/>
      <w:sz w:val="18"/>
      <w:szCs w:val="18"/>
    </w:rPr>
  </w:style>
  <w:style w:type="character" w:customStyle="1" w:styleId="123">
    <w:name w:val="页眉 Char"/>
    <w:qFormat/>
    <w:uiPriority w:val="0"/>
    <w:rPr>
      <w:rFonts w:ascii="Calibri" w:hAnsi="Calibri"/>
      <w:kern w:val="2"/>
      <w:sz w:val="18"/>
      <w:szCs w:val="18"/>
    </w:rPr>
  </w:style>
  <w:style w:type="table" w:customStyle="1" w:styleId="124">
    <w:name w:val="网格型8"/>
    <w:basedOn w:val="1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5">
    <w:name w:val="正文文本 2 字符1"/>
    <w:link w:val="14"/>
    <w:qFormat/>
    <w:uiPriority w:val="0"/>
    <w:rPr>
      <w:rFonts w:ascii="Calibri" w:hAnsi="Calibri" w:eastAsia="宋体" w:cs="Times New Roman"/>
    </w:rPr>
  </w:style>
  <w:style w:type="paragraph" w:customStyle="1" w:styleId="126">
    <w:name w:val="标准"/>
    <w:basedOn w:val="1"/>
    <w:qFormat/>
    <w:uiPriority w:val="0"/>
    <w:pPr>
      <w:adjustRightInd w:val="0"/>
      <w:spacing w:before="120" w:after="120" w:line="312" w:lineRule="atLeast"/>
      <w:textAlignment w:val="baseline"/>
    </w:pPr>
    <w:rPr>
      <w:rFonts w:ascii="宋体" w:hAnsi="Times New Roman" w:eastAsia="宋体" w:cs="Times New Roman"/>
      <w:kern w:val="0"/>
      <w:szCs w:val="20"/>
    </w:rPr>
  </w:style>
  <w:style w:type="table" w:customStyle="1" w:styleId="127">
    <w:name w:val="网格型9"/>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
    <w:name w:val="网格型10"/>
    <w:basedOn w:val="18"/>
    <w:qFormat/>
    <w:uiPriority w:val="3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
    <w:name w:val="Table Normal4"/>
    <w:unhideWhenUsed/>
    <w:qFormat/>
    <w:uiPriority w:val="2"/>
    <w:pPr>
      <w:widowControl w:val="0"/>
    </w:pPr>
    <w:rPr>
      <w:sz w:val="22"/>
      <w:lang w:eastAsia="en-US"/>
    </w:rPr>
    <w:tblPr>
      <w:tblCellMar>
        <w:top w:w="0" w:type="dxa"/>
        <w:left w:w="0" w:type="dxa"/>
        <w:bottom w:w="0" w:type="dxa"/>
        <w:right w:w="0" w:type="dxa"/>
      </w:tblCellMar>
    </w:tblPr>
  </w:style>
  <w:style w:type="table" w:customStyle="1" w:styleId="130">
    <w:name w:val="网格型13"/>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
    <w:name w:val="网格型2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网格型3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
    <w:name w:val="网格型4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
    <w:name w:val="网格型14"/>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5">
    <w:name w:val="列出段落3"/>
    <w:basedOn w:val="1"/>
    <w:qFormat/>
    <w:uiPriority w:val="99"/>
    <w:pPr>
      <w:ind w:firstLine="420" w:firstLineChars="200"/>
    </w:pPr>
    <w:rPr>
      <w:rFonts w:ascii="Calibri" w:hAnsi="Calibri" w:eastAsia="宋体" w:cs="Times New Roman"/>
    </w:rPr>
  </w:style>
  <w:style w:type="table" w:customStyle="1" w:styleId="136">
    <w:name w:val="Table Normal5"/>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137">
    <w:name w:val="网格型15"/>
    <w:basedOn w:val="18"/>
    <w:qFormat/>
    <w:uiPriority w:val="3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8">
    <w:name w:val="批注文字 Char1"/>
    <w:basedOn w:val="20"/>
    <w:semiHidden/>
    <w:qFormat/>
    <w:uiPriority w:val="99"/>
    <w:rPr>
      <w:rFonts w:asciiTheme="minorHAnsi" w:hAnsiTheme="minorHAnsi" w:eastAsiaTheme="minorEastAsia" w:cstheme="minorBidi"/>
      <w:kern w:val="2"/>
      <w:sz w:val="21"/>
      <w:szCs w:val="22"/>
    </w:rPr>
  </w:style>
  <w:style w:type="table" w:customStyle="1" w:styleId="139">
    <w:name w:val="Table Normal6"/>
    <w:unhideWhenUsed/>
    <w:qFormat/>
    <w:uiPriority w:val="2"/>
    <w:pPr>
      <w:widowControl w:val="0"/>
    </w:pPr>
    <w:rPr>
      <w:sz w:val="22"/>
      <w:lang w:eastAsia="en-US"/>
    </w:rPr>
    <w:tblPr>
      <w:tblCellMar>
        <w:top w:w="0" w:type="dxa"/>
        <w:left w:w="0" w:type="dxa"/>
        <w:bottom w:w="0" w:type="dxa"/>
        <w:right w:w="0" w:type="dxa"/>
      </w:tblCellMar>
    </w:tblPr>
  </w:style>
  <w:style w:type="table" w:customStyle="1" w:styleId="140">
    <w:name w:val="网格型16"/>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网格型2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
    <w:name w:val="网格型3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
    <w:name w:val="网格型4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5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Table Normal11"/>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table" w:customStyle="1" w:styleId="146">
    <w:name w:val="网格型112"/>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网格型1112"/>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网格型3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网格型4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网格型5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
    <w:name w:val="网格型6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Table Normal21"/>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table" w:customStyle="1" w:styleId="154">
    <w:name w:val="网格型71"/>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网格型12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网格型2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型3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网格型4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网格型5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Normal31"/>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161">
    <w:name w:val="网格型1111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
    <w:name w:val="网格型81"/>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网格型9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网格型101"/>
    <w:basedOn w:val="18"/>
    <w:qFormat/>
    <w:uiPriority w:val="3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
    <w:name w:val="Table Normal41"/>
    <w:unhideWhenUsed/>
    <w:qFormat/>
    <w:uiPriority w:val="2"/>
    <w:pPr>
      <w:widowControl w:val="0"/>
    </w:pPr>
    <w:rPr>
      <w:sz w:val="22"/>
      <w:lang w:eastAsia="en-US"/>
    </w:rPr>
    <w:tblPr>
      <w:tblCellMar>
        <w:top w:w="0" w:type="dxa"/>
        <w:left w:w="0" w:type="dxa"/>
        <w:bottom w:w="0" w:type="dxa"/>
        <w:right w:w="0" w:type="dxa"/>
      </w:tblCellMar>
    </w:tblPr>
  </w:style>
  <w:style w:type="table" w:customStyle="1" w:styleId="166">
    <w:name w:val="网格型131"/>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网格型23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网格型33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网格型43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网格型141"/>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1">
    <w:name w:val="列出段落4"/>
    <w:basedOn w:val="1"/>
    <w:qFormat/>
    <w:uiPriority w:val="99"/>
    <w:pPr>
      <w:ind w:firstLine="420" w:firstLineChars="200"/>
    </w:pPr>
    <w:rPr>
      <w:rFonts w:ascii="等线" w:hAnsi="等线" w:eastAsia="等线" w:cs="Times New Roman"/>
    </w:rPr>
  </w:style>
  <w:style w:type="table" w:customStyle="1" w:styleId="172">
    <w:name w:val="网格型17"/>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3">
    <w:name w:val="列出段落5"/>
    <w:basedOn w:val="1"/>
    <w:unhideWhenUsed/>
    <w:uiPriority w:val="99"/>
    <w:pPr>
      <w:ind w:firstLine="420" w:firstLineChars="200"/>
    </w:pPr>
    <w:rPr>
      <w:rFonts w:ascii="等线" w:hAnsi="等线" w:eastAsia="等线" w:cs="Times New Roman"/>
    </w:rPr>
  </w:style>
  <w:style w:type="table" w:customStyle="1" w:styleId="174">
    <w:name w:val="网格型9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93"/>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
    <w:name w:val="font10"/>
    <w:basedOn w:val="1"/>
    <w:uiPriority w:val="0"/>
    <w:pPr>
      <w:widowControl/>
      <w:spacing w:before="100" w:beforeAutospacing="1" w:after="100" w:afterAutospacing="1"/>
      <w:jc w:val="left"/>
    </w:pPr>
    <w:rPr>
      <w:rFonts w:ascii="Times New Roman" w:hAnsi="Times New Roman" w:eastAsia="宋体" w:cs="Times New Roman"/>
      <w:kern w:val="0"/>
      <w:sz w:val="16"/>
      <w:szCs w:val="16"/>
    </w:rPr>
  </w:style>
  <w:style w:type="paragraph" w:customStyle="1" w:styleId="177">
    <w:name w:val="xl10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8"/>
      <w:szCs w:val="18"/>
    </w:rPr>
  </w:style>
  <w:style w:type="paragraph" w:customStyle="1" w:styleId="178">
    <w:name w:val="xl10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8"/>
      <w:szCs w:val="18"/>
    </w:rPr>
  </w:style>
  <w:style w:type="paragraph" w:customStyle="1" w:styleId="179">
    <w:name w:val="xl107"/>
    <w:basedOn w:val="1"/>
    <w:uiPriority w:val="0"/>
    <w:pPr>
      <w:widowControl/>
      <w:spacing w:before="100" w:beforeAutospacing="1" w:after="100" w:afterAutospacing="1"/>
      <w:jc w:val="center"/>
    </w:pPr>
    <w:rPr>
      <w:rFonts w:ascii="Times New Roman" w:hAnsi="Times New Roman" w:eastAsia="宋体" w:cs="Times New Roman"/>
      <w:kern w:val="0"/>
      <w:sz w:val="18"/>
      <w:szCs w:val="18"/>
    </w:rPr>
  </w:style>
  <w:style w:type="paragraph" w:customStyle="1" w:styleId="180">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2"/>
      <w:szCs w:val="12"/>
    </w:rPr>
  </w:style>
  <w:style w:type="paragraph" w:customStyle="1" w:styleId="181">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2"/>
      <w:szCs w:val="12"/>
    </w:rPr>
  </w:style>
  <w:style w:type="paragraph" w:customStyle="1" w:styleId="182">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183">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184">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85">
    <w:name w:val="xl113"/>
    <w:basedOn w:val="1"/>
    <w:uiPriority w:val="0"/>
    <w:pPr>
      <w:widowControl/>
      <w:spacing w:before="100" w:beforeAutospacing="1" w:after="100" w:afterAutospacing="1"/>
      <w:jc w:val="center"/>
    </w:pPr>
    <w:rPr>
      <w:rFonts w:ascii="Times New Roman" w:hAnsi="Times New Roman" w:eastAsia="宋体" w:cs="Times New Roman"/>
      <w:kern w:val="0"/>
      <w:sz w:val="16"/>
      <w:szCs w:val="16"/>
    </w:rPr>
  </w:style>
  <w:style w:type="character" w:customStyle="1" w:styleId="186">
    <w:name w:val="font01"/>
    <w:basedOn w:val="20"/>
    <w:uiPriority w:val="0"/>
    <w:rPr>
      <w:rFonts w:hint="default" w:ascii="等线" w:hAnsi="等线" w:eastAsia="等线" w:cs="等线"/>
      <w:b/>
      <w:bCs/>
      <w:color w:val="000000"/>
      <w:sz w:val="21"/>
      <w:szCs w:val="21"/>
      <w:u w:val="none"/>
    </w:rPr>
  </w:style>
  <w:style w:type="character" w:customStyle="1" w:styleId="187">
    <w:name w:val="font11"/>
    <w:basedOn w:val="20"/>
    <w:uiPriority w:val="0"/>
    <w:rPr>
      <w:rFonts w:hint="default" w:ascii="Times New Roman" w:hAnsi="Times New Roman" w:cs="Times New Roman"/>
      <w:b/>
      <w:bCs/>
      <w:color w:val="000000"/>
      <w:sz w:val="21"/>
      <w:szCs w:val="21"/>
      <w:u w:val="none"/>
    </w:rPr>
  </w:style>
  <w:style w:type="character" w:customStyle="1" w:styleId="188">
    <w:name w:val="font41"/>
    <w:basedOn w:val="20"/>
    <w:uiPriority w:val="0"/>
    <w:rPr>
      <w:rFonts w:hint="default" w:ascii="Times New Roman" w:hAnsi="Times New Roman" w:cs="Times New Roman"/>
      <w:color w:val="000000"/>
      <w:sz w:val="21"/>
      <w:szCs w:val="21"/>
      <w:u w:val="none"/>
    </w:rPr>
  </w:style>
  <w:style w:type="character" w:customStyle="1" w:styleId="189">
    <w:name w:val="font31"/>
    <w:basedOn w:val="20"/>
    <w:uiPriority w:val="0"/>
    <w:rPr>
      <w:rFonts w:hint="default" w:ascii="等线" w:hAnsi="等线" w:eastAsia="等线" w:cs="等线"/>
      <w:color w:val="000000"/>
      <w:sz w:val="21"/>
      <w:szCs w:val="21"/>
      <w:u w:val="none"/>
    </w:rPr>
  </w:style>
  <w:style w:type="paragraph" w:customStyle="1" w:styleId="190">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C73C36-7C11-435D-A2A5-D5B3D5281F60}">
  <ds:schemaRefs/>
</ds:datastoreItem>
</file>

<file path=docProps/app.xml><?xml version="1.0" encoding="utf-8"?>
<Properties xmlns="http://schemas.openxmlformats.org/officeDocument/2006/extended-properties" xmlns:vt="http://schemas.openxmlformats.org/officeDocument/2006/docPropsVTypes">
  <Template>Normal</Template>
  <Pages>5</Pages>
  <Words>380</Words>
  <Characters>2166</Characters>
  <Lines>18</Lines>
  <Paragraphs>5</Paragraphs>
  <TotalTime>0</TotalTime>
  <ScaleCrop>false</ScaleCrop>
  <LinksUpToDate>false</LinksUpToDate>
  <CharactersWithSpaces>2541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2021-07-22T04:43:00Z</dcterms:created>
  <dc:creator>LuoXin</dc:creator>
  <cp:lastModifiedBy>媛</cp:lastModifiedBy>
  <cp:lastPrinted>2020-09-17T08:04:00Z</cp:lastPrinted>
  <dcterms:modified xsi:type="dcterms:W3CDTF">2023-07-19T01:07:20Z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8B35ECD8DF21480EBA8A97ED266C3098</vt:lpwstr>
  </property>
</Properties>
</file>